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1AC788D7" w:rsidR="005F6AD4" w:rsidRPr="00090D0D" w:rsidRDefault="3C281CDA" w:rsidP="3C6A40F0">
      <w:pPr>
        <w:tabs>
          <w:tab w:val="left" w:pos="7329"/>
        </w:tabs>
        <w:spacing w:after="0" w:line="240" w:lineRule="auto"/>
        <w:jc w:val="right"/>
        <w:rPr>
          <w:rFonts w:ascii="Garamond" w:eastAsia="Garamond" w:hAnsi="Garamond" w:cs="Garamond"/>
          <w:sz w:val="40"/>
          <w:szCs w:val="40"/>
        </w:rPr>
      </w:pPr>
      <w:r w:rsidRPr="00090D0D">
        <w:rPr>
          <w:rFonts w:ascii="Garamond" w:eastAsia="Garamond" w:hAnsi="Garamond" w:cs="Garamond"/>
          <w:sz w:val="40"/>
          <w:szCs w:val="40"/>
        </w:rPr>
        <w:t>Chile Wildfires</w:t>
      </w:r>
    </w:p>
    <w:p w14:paraId="31E7B682" w14:textId="0EECC62E" w:rsidR="67FF4B55" w:rsidRPr="00090D0D" w:rsidRDefault="61DDB42D" w:rsidP="3C6A40F0">
      <w:pPr>
        <w:spacing w:after="0" w:line="240" w:lineRule="auto"/>
        <w:jc w:val="right"/>
        <w:rPr>
          <w:rFonts w:ascii="Garamond" w:eastAsia="Garamond" w:hAnsi="Garamond" w:cs="Garamond"/>
          <w:sz w:val="28"/>
          <w:szCs w:val="28"/>
        </w:rPr>
      </w:pPr>
      <w:r w:rsidRPr="00090D0D">
        <w:rPr>
          <w:rFonts w:ascii="Garamond" w:eastAsia="Garamond" w:hAnsi="Garamond" w:cs="Garamond"/>
          <w:sz w:val="28"/>
          <w:szCs w:val="28"/>
        </w:rPr>
        <w:t>Utilizing NASA and NOAA Earth Observations to Determine Lightning-ignited Wildfire Risks in Central Chile</w:t>
      </w:r>
    </w:p>
    <w:p w14:paraId="0F963EE5" w14:textId="77777777" w:rsidR="009830D6" w:rsidRPr="00090D0D" w:rsidRDefault="009830D6" w:rsidP="3C6A40F0">
      <w:pPr>
        <w:spacing w:after="0" w:line="240" w:lineRule="auto"/>
        <w:rPr>
          <w:rFonts w:ascii="Garamond" w:eastAsia="Garamond" w:hAnsi="Garamond" w:cs="Garamond"/>
          <w:sz w:val="32"/>
          <w:szCs w:val="32"/>
        </w:rPr>
      </w:pPr>
    </w:p>
    <w:p w14:paraId="11F786B3" w14:textId="77777777" w:rsidR="00E578D6" w:rsidRPr="00090D0D" w:rsidRDefault="00E578D6" w:rsidP="3C6A40F0">
      <w:pPr>
        <w:spacing w:after="0" w:line="240" w:lineRule="auto"/>
        <w:rPr>
          <w:rFonts w:ascii="Garamond" w:eastAsia="Garamond" w:hAnsi="Garamond" w:cs="Garamond"/>
          <w:sz w:val="32"/>
          <w:szCs w:val="32"/>
        </w:rPr>
      </w:pPr>
    </w:p>
    <w:p w14:paraId="5FF73AA5" w14:textId="77777777" w:rsidR="00E578D6" w:rsidRPr="00090D0D" w:rsidRDefault="00E578D6" w:rsidP="3C6A40F0">
      <w:pPr>
        <w:spacing w:after="0" w:line="240" w:lineRule="auto"/>
        <w:rPr>
          <w:rFonts w:ascii="Garamond" w:eastAsia="Garamond" w:hAnsi="Garamond" w:cs="Garamond"/>
          <w:sz w:val="32"/>
          <w:szCs w:val="32"/>
        </w:rPr>
      </w:pPr>
    </w:p>
    <w:p w14:paraId="2A91BFEF" w14:textId="77777777" w:rsidR="00E578D6" w:rsidRPr="00090D0D" w:rsidRDefault="00E578D6" w:rsidP="3C6A40F0">
      <w:pPr>
        <w:spacing w:after="0" w:line="240" w:lineRule="auto"/>
        <w:rPr>
          <w:rFonts w:ascii="Garamond" w:eastAsia="Garamond" w:hAnsi="Garamond" w:cs="Garamond"/>
          <w:sz w:val="32"/>
          <w:szCs w:val="32"/>
        </w:rPr>
      </w:pPr>
    </w:p>
    <w:p w14:paraId="347CEE32" w14:textId="77777777" w:rsidR="00FC670A" w:rsidRPr="00090D0D" w:rsidRDefault="00FC670A" w:rsidP="3C6A40F0">
      <w:pPr>
        <w:spacing w:after="0" w:line="240" w:lineRule="auto"/>
        <w:jc w:val="center"/>
        <w:rPr>
          <w:rFonts w:ascii="Garamond" w:eastAsia="Garamond" w:hAnsi="Garamond" w:cs="Garamond"/>
          <w:b/>
          <w:bCs/>
          <w:sz w:val="32"/>
          <w:szCs w:val="32"/>
        </w:rPr>
      </w:pPr>
    </w:p>
    <w:p w14:paraId="37CABABF" w14:textId="77777777" w:rsidR="00FC670A" w:rsidRPr="00090D0D" w:rsidRDefault="00FC670A" w:rsidP="3C6A40F0">
      <w:pPr>
        <w:spacing w:after="0" w:line="240" w:lineRule="auto"/>
        <w:jc w:val="center"/>
        <w:rPr>
          <w:rFonts w:ascii="Garamond" w:eastAsia="Garamond" w:hAnsi="Garamond" w:cs="Garamond"/>
          <w:b/>
          <w:bCs/>
          <w:sz w:val="32"/>
          <w:szCs w:val="32"/>
        </w:rPr>
      </w:pPr>
    </w:p>
    <w:p w14:paraId="776B0F45" w14:textId="5C033021" w:rsidR="0064280B" w:rsidRPr="00090D0D" w:rsidRDefault="0064280B" w:rsidP="3C6A40F0">
      <w:pPr>
        <w:spacing w:after="0" w:line="240" w:lineRule="auto"/>
        <w:jc w:val="center"/>
        <w:rPr>
          <w:rFonts w:ascii="Garamond" w:eastAsia="Garamond" w:hAnsi="Garamond" w:cs="Garamond"/>
          <w:b/>
          <w:bCs/>
          <w:sz w:val="32"/>
          <w:szCs w:val="32"/>
        </w:rPr>
      </w:pPr>
      <w:r w:rsidRPr="00090D0D">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62D42318" w:rsidRPr="00090D0D">
        <w:rPr>
          <w:rFonts w:ascii="Garamond" w:eastAsia="Garamond" w:hAnsi="Garamond" w:cs="Garamond"/>
          <w:b/>
          <w:bCs/>
          <w:sz w:val="32"/>
          <w:szCs w:val="32"/>
        </w:rPr>
        <w:t xml:space="preserve">                 </w:t>
      </w:r>
      <w:r w:rsidR="38F2ED62" w:rsidRPr="00090D0D">
        <w:rPr>
          <w:rFonts w:ascii="Garamond" w:eastAsia="Garamond" w:hAnsi="Garamond" w:cs="Garamond"/>
          <w:b/>
          <w:bCs/>
          <w:sz w:val="32"/>
          <w:szCs w:val="32"/>
        </w:rPr>
        <w:t>Technical Report</w:t>
      </w:r>
    </w:p>
    <w:p w14:paraId="6135BAC2" w14:textId="05D83766" w:rsidR="00916AAB" w:rsidRPr="00090D0D" w:rsidRDefault="77DC967D" w:rsidP="3C6A40F0">
      <w:pPr>
        <w:spacing w:after="0" w:line="240" w:lineRule="auto"/>
        <w:jc w:val="center"/>
        <w:rPr>
          <w:rFonts w:ascii="Garamond" w:eastAsia="Garamond" w:hAnsi="Garamond" w:cs="Garamond"/>
          <w:sz w:val="28"/>
          <w:szCs w:val="28"/>
        </w:rPr>
      </w:pPr>
      <w:r w:rsidRPr="00090D0D">
        <w:rPr>
          <w:rFonts w:ascii="Garamond" w:eastAsia="Garamond" w:hAnsi="Garamond" w:cs="Garamond"/>
          <w:sz w:val="28"/>
          <w:szCs w:val="28"/>
        </w:rPr>
        <w:t>Final</w:t>
      </w:r>
      <w:r w:rsidR="62D42318" w:rsidRPr="00090D0D">
        <w:rPr>
          <w:rFonts w:ascii="Garamond" w:eastAsia="Garamond" w:hAnsi="Garamond" w:cs="Garamond"/>
          <w:sz w:val="28"/>
          <w:szCs w:val="28"/>
        </w:rPr>
        <w:t xml:space="preserve"> </w:t>
      </w:r>
      <w:r w:rsidR="54BB1376" w:rsidRPr="00090D0D">
        <w:rPr>
          <w:rFonts w:ascii="Garamond" w:eastAsia="Garamond" w:hAnsi="Garamond" w:cs="Garamond"/>
          <w:sz w:val="28"/>
          <w:szCs w:val="28"/>
        </w:rPr>
        <w:t>–</w:t>
      </w:r>
      <w:r w:rsidR="6B86F85E" w:rsidRPr="00090D0D">
        <w:rPr>
          <w:rFonts w:ascii="Garamond" w:eastAsia="Garamond" w:hAnsi="Garamond" w:cs="Garamond"/>
          <w:sz w:val="28"/>
          <w:szCs w:val="28"/>
        </w:rPr>
        <w:t xml:space="preserve"> Aug 10</w:t>
      </w:r>
      <w:r w:rsidR="0C2DED29" w:rsidRPr="00090D0D">
        <w:rPr>
          <w:rFonts w:ascii="Garamond" w:eastAsia="Garamond" w:hAnsi="Garamond" w:cs="Garamond"/>
          <w:sz w:val="28"/>
          <w:szCs w:val="28"/>
          <w:vertAlign w:val="superscript"/>
        </w:rPr>
        <w:t>th</w:t>
      </w:r>
      <w:r w:rsidR="78B5B9CC" w:rsidRPr="00090D0D">
        <w:rPr>
          <w:rFonts w:ascii="Garamond" w:eastAsia="Garamond" w:hAnsi="Garamond" w:cs="Garamond"/>
          <w:sz w:val="28"/>
          <w:szCs w:val="28"/>
        </w:rPr>
        <w:t xml:space="preserve">, </w:t>
      </w:r>
      <w:r w:rsidR="09CFDC20" w:rsidRPr="00090D0D">
        <w:rPr>
          <w:rFonts w:ascii="Garamond" w:eastAsia="Garamond" w:hAnsi="Garamond" w:cs="Garamond"/>
          <w:sz w:val="28"/>
          <w:szCs w:val="28"/>
        </w:rPr>
        <w:t>202</w:t>
      </w:r>
      <w:r w:rsidR="636B72EA" w:rsidRPr="00090D0D">
        <w:rPr>
          <w:rFonts w:ascii="Garamond" w:eastAsia="Garamond" w:hAnsi="Garamond" w:cs="Garamond"/>
          <w:sz w:val="28"/>
          <w:szCs w:val="28"/>
        </w:rPr>
        <w:t>2</w:t>
      </w:r>
    </w:p>
    <w:p w14:paraId="654A8582" w14:textId="77777777" w:rsidR="00916AAB" w:rsidRPr="00090D0D" w:rsidRDefault="00916AAB" w:rsidP="3C6A40F0">
      <w:pPr>
        <w:spacing w:after="0" w:line="240" w:lineRule="auto"/>
        <w:jc w:val="center"/>
        <w:rPr>
          <w:rFonts w:ascii="Garamond" w:eastAsia="Garamond" w:hAnsi="Garamond" w:cs="Garamond"/>
          <w:sz w:val="20"/>
          <w:szCs w:val="20"/>
        </w:rPr>
      </w:pPr>
    </w:p>
    <w:p w14:paraId="244786C8" w14:textId="790E5E30" w:rsidR="3CA35878" w:rsidRPr="00090D0D" w:rsidRDefault="353B8202" w:rsidP="3C6A40F0">
      <w:pPr>
        <w:spacing w:after="0" w:line="240" w:lineRule="auto"/>
        <w:jc w:val="center"/>
        <w:rPr>
          <w:rFonts w:ascii="Garamond" w:eastAsia="Garamond" w:hAnsi="Garamond" w:cs="Garamond"/>
          <w:sz w:val="20"/>
          <w:szCs w:val="20"/>
        </w:rPr>
      </w:pPr>
      <w:r w:rsidRPr="00090D0D">
        <w:rPr>
          <w:rFonts w:ascii="Garamond" w:eastAsia="Garamond" w:hAnsi="Garamond" w:cs="Garamond"/>
          <w:sz w:val="20"/>
          <w:szCs w:val="20"/>
        </w:rPr>
        <w:t xml:space="preserve">Christopher </w:t>
      </w:r>
      <w:proofErr w:type="spellStart"/>
      <w:r w:rsidRPr="00090D0D">
        <w:rPr>
          <w:rFonts w:ascii="Garamond" w:eastAsia="Garamond" w:hAnsi="Garamond" w:cs="Garamond"/>
          <w:sz w:val="20"/>
          <w:szCs w:val="20"/>
        </w:rPr>
        <w:t>Matechik</w:t>
      </w:r>
      <w:proofErr w:type="spellEnd"/>
      <w:r w:rsidRPr="00090D0D">
        <w:rPr>
          <w:rFonts w:ascii="Garamond" w:eastAsia="Garamond" w:hAnsi="Garamond" w:cs="Garamond"/>
          <w:sz w:val="20"/>
          <w:szCs w:val="20"/>
        </w:rPr>
        <w:t xml:space="preserve"> (Project Lead)</w:t>
      </w:r>
    </w:p>
    <w:p w14:paraId="51EBA91F" w14:textId="0FD60A9A" w:rsidR="00FC670A" w:rsidRPr="00090D0D" w:rsidRDefault="353B8202" w:rsidP="3C6A40F0">
      <w:pPr>
        <w:spacing w:after="0" w:line="240" w:lineRule="auto"/>
        <w:jc w:val="center"/>
        <w:rPr>
          <w:rFonts w:ascii="Garamond" w:eastAsia="Garamond" w:hAnsi="Garamond" w:cs="Garamond"/>
          <w:sz w:val="20"/>
          <w:szCs w:val="20"/>
        </w:rPr>
      </w:pPr>
      <w:r w:rsidRPr="00090D0D">
        <w:rPr>
          <w:rFonts w:ascii="Garamond" w:eastAsia="Garamond" w:hAnsi="Garamond" w:cs="Garamond"/>
          <w:sz w:val="20"/>
          <w:szCs w:val="20"/>
        </w:rPr>
        <w:t>Jennifer Ruiz</w:t>
      </w:r>
    </w:p>
    <w:p w14:paraId="11907C6E" w14:textId="6EECFF0C" w:rsidR="3CA35878" w:rsidRPr="00090D0D" w:rsidRDefault="353B8202" w:rsidP="3C6A40F0">
      <w:pPr>
        <w:spacing w:after="0" w:line="240" w:lineRule="auto"/>
        <w:jc w:val="center"/>
        <w:rPr>
          <w:rFonts w:ascii="Garamond" w:eastAsia="Garamond" w:hAnsi="Garamond" w:cs="Garamond"/>
          <w:sz w:val="20"/>
          <w:szCs w:val="20"/>
        </w:rPr>
      </w:pPr>
      <w:r w:rsidRPr="00090D0D">
        <w:rPr>
          <w:rFonts w:ascii="Garamond" w:eastAsia="Garamond" w:hAnsi="Garamond" w:cs="Garamond"/>
          <w:sz w:val="20"/>
          <w:szCs w:val="20"/>
        </w:rPr>
        <w:t>Reuben Alter</w:t>
      </w:r>
    </w:p>
    <w:p w14:paraId="58C3E2E7" w14:textId="4F7C49DB" w:rsidR="00FC670A" w:rsidRPr="00090D0D" w:rsidRDefault="353B8202" w:rsidP="3C6A40F0">
      <w:pPr>
        <w:spacing w:after="0" w:line="240" w:lineRule="auto"/>
        <w:jc w:val="center"/>
        <w:rPr>
          <w:rFonts w:ascii="Garamond" w:eastAsia="Garamond" w:hAnsi="Garamond" w:cs="Garamond"/>
          <w:sz w:val="20"/>
          <w:szCs w:val="20"/>
        </w:rPr>
      </w:pPr>
      <w:r w:rsidRPr="00090D0D">
        <w:rPr>
          <w:rFonts w:ascii="Garamond" w:eastAsia="Garamond" w:hAnsi="Garamond" w:cs="Garamond"/>
          <w:sz w:val="20"/>
          <w:szCs w:val="20"/>
        </w:rPr>
        <w:t xml:space="preserve">Stephen </w:t>
      </w:r>
      <w:proofErr w:type="spellStart"/>
      <w:r w:rsidRPr="00090D0D">
        <w:rPr>
          <w:rFonts w:ascii="Garamond" w:eastAsia="Garamond" w:hAnsi="Garamond" w:cs="Garamond"/>
          <w:sz w:val="20"/>
          <w:szCs w:val="20"/>
        </w:rPr>
        <w:t>Sene</w:t>
      </w:r>
      <w:proofErr w:type="spellEnd"/>
    </w:p>
    <w:p w14:paraId="30E72E9D" w14:textId="68C60771" w:rsidR="09D39C65" w:rsidRPr="00090D0D" w:rsidRDefault="09D39C65" w:rsidP="09D39C65">
      <w:pPr>
        <w:spacing w:after="0" w:line="240" w:lineRule="auto"/>
        <w:jc w:val="center"/>
        <w:rPr>
          <w:rFonts w:ascii="Garamond" w:eastAsia="Garamond" w:hAnsi="Garamond" w:cs="Garamond"/>
          <w:sz w:val="20"/>
          <w:szCs w:val="20"/>
        </w:rPr>
      </w:pPr>
    </w:p>
    <w:p w14:paraId="7E187B46" w14:textId="40AE7AF6" w:rsidR="00611ACB" w:rsidRPr="00090D0D" w:rsidRDefault="0C2DED29" w:rsidP="3C6A40F0">
      <w:pPr>
        <w:spacing w:after="0" w:line="240" w:lineRule="auto"/>
        <w:jc w:val="center"/>
        <w:rPr>
          <w:rFonts w:ascii="Garamond" w:eastAsia="Garamond" w:hAnsi="Garamond" w:cs="Garamond"/>
          <w:b/>
          <w:bCs/>
          <w:i/>
          <w:iCs/>
          <w:sz w:val="20"/>
          <w:szCs w:val="20"/>
        </w:rPr>
      </w:pPr>
      <w:r w:rsidRPr="00090D0D">
        <w:rPr>
          <w:rFonts w:ascii="Garamond" w:eastAsia="Garamond" w:hAnsi="Garamond" w:cs="Garamond"/>
          <w:b/>
          <w:bCs/>
          <w:i/>
          <w:iCs/>
          <w:sz w:val="20"/>
          <w:szCs w:val="20"/>
        </w:rPr>
        <w:t>Advisors:</w:t>
      </w:r>
    </w:p>
    <w:p w14:paraId="6DE48D2F" w14:textId="7A39D1B3" w:rsidR="00916AAB" w:rsidRPr="00090D0D" w:rsidRDefault="5596DA68" w:rsidP="3C6A40F0">
      <w:pPr>
        <w:spacing w:after="0" w:line="240" w:lineRule="auto"/>
        <w:jc w:val="center"/>
        <w:rPr>
          <w:rFonts w:ascii="Garamond" w:eastAsia="Garamond" w:hAnsi="Garamond" w:cs="Garamond"/>
          <w:sz w:val="20"/>
          <w:szCs w:val="20"/>
        </w:rPr>
      </w:pPr>
      <w:r w:rsidRPr="00090D0D">
        <w:rPr>
          <w:rFonts w:ascii="Garamond" w:eastAsia="Garamond" w:hAnsi="Garamond" w:cs="Garamond"/>
          <w:sz w:val="20"/>
          <w:szCs w:val="20"/>
        </w:rPr>
        <w:t xml:space="preserve">Kenton Ross, </w:t>
      </w:r>
      <w:r w:rsidR="07334440" w:rsidRPr="00090D0D">
        <w:rPr>
          <w:rFonts w:ascii="Garamond" w:eastAsia="Garamond" w:hAnsi="Garamond" w:cs="Garamond"/>
          <w:sz w:val="20"/>
          <w:szCs w:val="20"/>
        </w:rPr>
        <w:t>NASA Langley Research Center</w:t>
      </w:r>
      <w:r w:rsidRPr="00090D0D">
        <w:rPr>
          <w:rFonts w:ascii="Garamond" w:eastAsia="Garamond" w:hAnsi="Garamond" w:cs="Garamond"/>
          <w:sz w:val="20"/>
          <w:szCs w:val="20"/>
        </w:rPr>
        <w:t xml:space="preserve"> (Science Advisor)</w:t>
      </w:r>
    </w:p>
    <w:p w14:paraId="74093909" w14:textId="3E608A43" w:rsidR="006E2A1C" w:rsidRPr="00090D0D" w:rsidRDefault="5596DA68" w:rsidP="3C6A40F0">
      <w:pPr>
        <w:spacing w:after="0" w:line="240" w:lineRule="auto"/>
        <w:jc w:val="center"/>
        <w:rPr>
          <w:rFonts w:ascii="Garamond" w:eastAsia="Garamond" w:hAnsi="Garamond" w:cs="Garamond"/>
          <w:sz w:val="20"/>
          <w:szCs w:val="20"/>
        </w:rPr>
      </w:pPr>
      <w:r w:rsidRPr="00090D0D">
        <w:rPr>
          <w:rFonts w:ascii="Garamond" w:eastAsia="Garamond" w:hAnsi="Garamond" w:cs="Garamond"/>
          <w:sz w:val="20"/>
          <w:szCs w:val="20"/>
        </w:rPr>
        <w:t xml:space="preserve">Kristopher </w:t>
      </w:r>
      <w:proofErr w:type="spellStart"/>
      <w:r w:rsidRPr="00090D0D">
        <w:rPr>
          <w:rFonts w:ascii="Garamond" w:eastAsia="Garamond" w:hAnsi="Garamond" w:cs="Garamond"/>
          <w:sz w:val="20"/>
          <w:szCs w:val="20"/>
        </w:rPr>
        <w:t>Bedka</w:t>
      </w:r>
      <w:proofErr w:type="spellEnd"/>
      <w:r w:rsidRPr="00090D0D">
        <w:rPr>
          <w:rFonts w:ascii="Garamond" w:eastAsia="Garamond" w:hAnsi="Garamond" w:cs="Garamond"/>
          <w:sz w:val="20"/>
          <w:szCs w:val="20"/>
        </w:rPr>
        <w:t xml:space="preserve">, </w:t>
      </w:r>
      <w:r w:rsidR="07334440" w:rsidRPr="00090D0D">
        <w:rPr>
          <w:rFonts w:ascii="Garamond" w:eastAsia="Garamond" w:hAnsi="Garamond" w:cs="Garamond"/>
          <w:sz w:val="20"/>
          <w:szCs w:val="20"/>
        </w:rPr>
        <w:t xml:space="preserve">NASA Langley Research Center </w:t>
      </w:r>
      <w:r w:rsidRPr="00090D0D">
        <w:rPr>
          <w:rFonts w:ascii="Garamond" w:eastAsia="Garamond" w:hAnsi="Garamond" w:cs="Garamond"/>
          <w:sz w:val="20"/>
          <w:szCs w:val="20"/>
        </w:rPr>
        <w:t>(Science Advisor)</w:t>
      </w:r>
    </w:p>
    <w:p w14:paraId="20DDFCF1" w14:textId="77777777" w:rsidR="00FC670A" w:rsidRPr="00090D0D" w:rsidRDefault="00FC670A" w:rsidP="3C6A40F0">
      <w:pPr>
        <w:spacing w:after="0" w:line="240" w:lineRule="auto"/>
        <w:jc w:val="center"/>
        <w:rPr>
          <w:rFonts w:ascii="Garamond" w:eastAsia="Garamond" w:hAnsi="Garamond" w:cs="Garamond"/>
          <w:sz w:val="20"/>
          <w:szCs w:val="20"/>
        </w:rPr>
      </w:pPr>
    </w:p>
    <w:p w14:paraId="2558426B" w14:textId="77777777" w:rsidR="0064280B" w:rsidRPr="00090D0D" w:rsidRDefault="0064280B" w:rsidP="3C6A40F0">
      <w:pPr>
        <w:spacing w:after="0" w:line="240" w:lineRule="auto"/>
        <w:rPr>
          <w:rFonts w:ascii="Garamond" w:eastAsia="Garamond" w:hAnsi="Garamond" w:cs="Garamond"/>
          <w:sz w:val="20"/>
          <w:szCs w:val="20"/>
        </w:rPr>
      </w:pPr>
      <w:r w:rsidRPr="00090D0D">
        <w:rPr>
          <w:rFonts w:ascii="Garamond" w:eastAsia="Garamond" w:hAnsi="Garamond" w:cs="Garamond"/>
          <w:b/>
          <w:bCs/>
          <w:sz w:val="20"/>
          <w:szCs w:val="20"/>
        </w:rPr>
        <w:br w:type="page"/>
      </w:r>
    </w:p>
    <w:p w14:paraId="59B8B919" w14:textId="1A61D436" w:rsidR="2C3F65B8" w:rsidRPr="00090D0D" w:rsidRDefault="2C3F65B8" w:rsidP="3C6A40F0">
      <w:pPr>
        <w:pStyle w:val="Heading1"/>
        <w:spacing w:before="0" w:line="240" w:lineRule="auto"/>
        <w:rPr>
          <w:rFonts w:ascii="Garamond" w:eastAsia="Garamond" w:hAnsi="Garamond" w:cs="Garamond"/>
        </w:rPr>
      </w:pPr>
      <w:r w:rsidRPr="00090D0D">
        <w:rPr>
          <w:rFonts w:ascii="Garamond" w:eastAsia="Garamond" w:hAnsi="Garamond" w:cs="Garamond"/>
        </w:rPr>
        <w:lastRenderedPageBreak/>
        <w:t>1</w:t>
      </w:r>
      <w:r w:rsidR="0E5915C0" w:rsidRPr="00090D0D">
        <w:rPr>
          <w:rFonts w:ascii="Garamond" w:eastAsia="Garamond" w:hAnsi="Garamond" w:cs="Garamond"/>
        </w:rPr>
        <w:t xml:space="preserve">. </w:t>
      </w:r>
      <w:r w:rsidR="2C167991" w:rsidRPr="00090D0D">
        <w:rPr>
          <w:rFonts w:ascii="Garamond" w:eastAsia="Garamond" w:hAnsi="Garamond" w:cs="Garamond"/>
        </w:rPr>
        <w:t>Abstract</w:t>
      </w:r>
    </w:p>
    <w:p w14:paraId="400475A3" w14:textId="274FEC83" w:rsidR="3C6A40F0" w:rsidRPr="00090D0D" w:rsidRDefault="3C6A40F0" w:rsidP="3C6A40F0">
      <w:pPr>
        <w:spacing w:after="0" w:line="240" w:lineRule="auto"/>
        <w:rPr>
          <w:rFonts w:ascii="Garamond" w:eastAsia="Garamond" w:hAnsi="Garamond" w:cs="Garamond"/>
        </w:rPr>
      </w:pPr>
      <w:r w:rsidRPr="00090D0D">
        <w:rPr>
          <w:rFonts w:ascii="Garamond" w:eastAsia="Garamond" w:hAnsi="Garamond" w:cs="Garamond"/>
          <w:color w:val="000000" w:themeColor="text1"/>
        </w:rPr>
        <w:t xml:space="preserve">In recent years, Central Chile has experienced wildfires of increasing frequency and intensity which threaten natural resources and communities. The </w:t>
      </w:r>
      <w:proofErr w:type="spellStart"/>
      <w:r w:rsidRPr="00090D0D">
        <w:rPr>
          <w:rFonts w:ascii="Garamond" w:eastAsia="Garamond" w:hAnsi="Garamond" w:cs="Garamond"/>
          <w:color w:val="000000" w:themeColor="text1"/>
        </w:rPr>
        <w:t>Corporación</w:t>
      </w:r>
      <w:proofErr w:type="spellEnd"/>
      <w:r w:rsidRPr="00090D0D">
        <w:rPr>
          <w:rFonts w:ascii="Garamond" w:eastAsia="Garamond" w:hAnsi="Garamond" w:cs="Garamond"/>
          <w:color w:val="000000" w:themeColor="text1"/>
        </w:rPr>
        <w:t xml:space="preserve"> Nacional </w:t>
      </w:r>
      <w:proofErr w:type="spellStart"/>
      <w:r w:rsidRPr="00090D0D">
        <w:rPr>
          <w:rFonts w:ascii="Garamond" w:eastAsia="Garamond" w:hAnsi="Garamond" w:cs="Garamond"/>
          <w:color w:val="000000" w:themeColor="text1"/>
        </w:rPr>
        <w:t>Forestal</w:t>
      </w:r>
      <w:proofErr w:type="spellEnd"/>
      <w:r w:rsidRPr="00090D0D">
        <w:rPr>
          <w:rFonts w:ascii="Garamond" w:eastAsia="Garamond" w:hAnsi="Garamond" w:cs="Garamond"/>
          <w:color w:val="000000" w:themeColor="text1"/>
        </w:rPr>
        <w:t xml:space="preserve"> (CONAF) responds to wildfires caused by a variety of ignitions, including lightning, but </w:t>
      </w:r>
      <w:r w:rsidR="006949CB">
        <w:rPr>
          <w:rFonts w:ascii="Garamond" w:eastAsia="Garamond" w:hAnsi="Garamond" w:cs="Garamond"/>
          <w:color w:val="000000" w:themeColor="text1"/>
        </w:rPr>
        <w:t xml:space="preserve">it is difficult to determine </w:t>
      </w:r>
      <w:r w:rsidRPr="00090D0D">
        <w:rPr>
          <w:rFonts w:ascii="Garamond" w:eastAsia="Garamond" w:hAnsi="Garamond" w:cs="Garamond"/>
          <w:color w:val="000000" w:themeColor="text1"/>
        </w:rPr>
        <w:t xml:space="preserve">the prevalence of lightning-ignited wildfires </w:t>
      </w:r>
      <w:r w:rsidR="006949CB">
        <w:rPr>
          <w:rFonts w:ascii="Garamond" w:eastAsia="Garamond" w:hAnsi="Garamond" w:cs="Garamond"/>
          <w:color w:val="000000" w:themeColor="text1"/>
        </w:rPr>
        <w:t xml:space="preserve">based </w:t>
      </w:r>
      <w:r w:rsidR="00B14DBF">
        <w:rPr>
          <w:rFonts w:ascii="Garamond" w:eastAsia="Garamond" w:hAnsi="Garamond" w:cs="Garamond"/>
          <w:color w:val="000000" w:themeColor="text1"/>
        </w:rPr>
        <w:t xml:space="preserve">solely </w:t>
      </w:r>
      <w:r w:rsidR="006949CB">
        <w:rPr>
          <w:rFonts w:ascii="Garamond" w:eastAsia="Garamond" w:hAnsi="Garamond" w:cs="Garamond"/>
          <w:color w:val="000000" w:themeColor="text1"/>
        </w:rPr>
        <w:t>on ground observations</w:t>
      </w:r>
      <w:r w:rsidRPr="00090D0D">
        <w:rPr>
          <w:rFonts w:ascii="Garamond" w:eastAsia="Garamond" w:hAnsi="Garamond" w:cs="Garamond"/>
          <w:color w:val="000000" w:themeColor="text1"/>
        </w:rPr>
        <w:t xml:space="preserve">. In collaboration with CONAF and the Embassy of Chile, Agricultural Office, the team used Earth observations to map coincidence of lightning strikes and wildfire ignitions. The Active Fire Product of Suomi NPP Visible Infrared Imaging Radiometer Suite (VIIRS) identified wildfires as thermal anomalies, which the team compared to the lightning events detected by NOAA’s GOES-16 Geostationary Lightning Mapper (GLM). Next, the team mapped lightning strike frequency and lightning related wildfires across the study area. Finally, the team calculated and mapped a relative estimate of lightning-ignited wildfire vulnerability across the year, fire season (December – March), and off-season (April – November) by summing the following factors: lightning frequency, the Normalized Difference Moisture Index (NDMI) and land surface temperature (LST). These risks were then weighted by fuel availability. </w:t>
      </w:r>
      <w:r w:rsidRPr="00090D0D">
        <w:rPr>
          <w:rFonts w:ascii="Garamond" w:eastAsia="Garamond" w:hAnsi="Garamond" w:cs="Garamond"/>
        </w:rPr>
        <w:t>Preliminary analysis of the lightning fire relationship showed a spatiotemporal coincidence, primarily in the South-central region of study, near Temuco, and isolated areas on the Andean front.</w:t>
      </w:r>
      <w:r w:rsidRPr="00090D0D">
        <w:rPr>
          <w:rFonts w:ascii="Garamond" w:eastAsia="Garamond" w:hAnsi="Garamond" w:cs="Garamond"/>
          <w:color w:val="000000" w:themeColor="text1"/>
        </w:rPr>
        <w:t xml:space="preserve"> The team identified areas at risk of lightning-induced wildfires, predominantly in the northern third of the study area and along the Andean front. </w:t>
      </w:r>
      <w:r w:rsidRPr="00090D0D">
        <w:rPr>
          <w:rFonts w:ascii="Garamond" w:eastAsia="Garamond" w:hAnsi="Garamond" w:cs="Garamond"/>
        </w:rPr>
        <w:t>Adjusting the relative weight of risk factors and improving the lightning and fire coincidence map by clustering VIIRS thermal anomalies into fire events could reduce discrepancies and improve risk assessments for future work.</w:t>
      </w:r>
    </w:p>
    <w:p w14:paraId="1FE7C9D7" w14:textId="30AB42F8" w:rsidR="3C6A40F0" w:rsidRPr="00090D0D" w:rsidRDefault="3C6A40F0" w:rsidP="3C6A40F0">
      <w:pPr>
        <w:spacing w:after="0" w:line="240" w:lineRule="auto"/>
        <w:rPr>
          <w:rFonts w:ascii="Garamond" w:eastAsia="Garamond" w:hAnsi="Garamond" w:cs="Garamond"/>
          <w:b/>
          <w:bCs/>
        </w:rPr>
      </w:pPr>
    </w:p>
    <w:p w14:paraId="350BBE67" w14:textId="60F7FBFC" w:rsidR="00770650" w:rsidRPr="00090D0D" w:rsidRDefault="0188495F" w:rsidP="3C6A40F0">
      <w:pPr>
        <w:spacing w:after="0" w:line="240" w:lineRule="auto"/>
        <w:rPr>
          <w:rFonts w:ascii="Garamond" w:eastAsia="Garamond" w:hAnsi="Garamond" w:cs="Garamond"/>
          <w:b/>
          <w:bCs/>
        </w:rPr>
      </w:pPr>
      <w:r w:rsidRPr="00090D0D">
        <w:rPr>
          <w:rFonts w:ascii="Garamond" w:eastAsia="Garamond" w:hAnsi="Garamond" w:cs="Garamond"/>
          <w:b/>
          <w:bCs/>
        </w:rPr>
        <w:t>Key</w:t>
      </w:r>
      <w:r w:rsidR="086F7761" w:rsidRPr="00090D0D">
        <w:rPr>
          <w:rFonts w:ascii="Garamond" w:eastAsia="Garamond" w:hAnsi="Garamond" w:cs="Garamond"/>
          <w:b/>
          <w:bCs/>
        </w:rPr>
        <w:t xml:space="preserve"> Terms</w:t>
      </w:r>
    </w:p>
    <w:p w14:paraId="55E8DADD" w14:textId="3FA79A0A" w:rsidR="085CE6B1" w:rsidRPr="00090D0D" w:rsidRDefault="7741A670" w:rsidP="085CE6B1">
      <w:pPr>
        <w:spacing w:after="0" w:line="240" w:lineRule="auto"/>
        <w:rPr>
          <w:rFonts w:ascii="Garamond" w:eastAsia="Garamond" w:hAnsi="Garamond" w:cs="Garamond"/>
        </w:rPr>
      </w:pPr>
      <w:r w:rsidRPr="00090D0D">
        <w:rPr>
          <w:rFonts w:ascii="Garamond" w:eastAsia="Garamond" w:hAnsi="Garamond" w:cs="Garamond"/>
        </w:rPr>
        <w:t>lightning, remote sensing, risk map, vegetation water content, fuel moisture</w:t>
      </w:r>
      <w:bookmarkStart w:id="0" w:name="_Toc334198720"/>
    </w:p>
    <w:p w14:paraId="12AB3859" w14:textId="77777777" w:rsidR="0066138C" w:rsidRPr="00090D0D" w:rsidRDefault="0066138C" w:rsidP="3C6A40F0">
      <w:pPr>
        <w:spacing w:after="0" w:line="240" w:lineRule="auto"/>
        <w:rPr>
          <w:rFonts w:ascii="Garamond" w:eastAsia="Garamond" w:hAnsi="Garamond" w:cs="Garamond"/>
        </w:rPr>
      </w:pPr>
    </w:p>
    <w:p w14:paraId="2FAE8067" w14:textId="0DFABC19" w:rsidR="2C3F65B8" w:rsidRPr="00090D0D" w:rsidRDefault="2C3F65B8" w:rsidP="3C6A40F0">
      <w:pPr>
        <w:pStyle w:val="Heading1"/>
        <w:spacing w:before="0" w:line="240" w:lineRule="auto"/>
        <w:rPr>
          <w:rFonts w:ascii="Garamond" w:eastAsia="Garamond" w:hAnsi="Garamond" w:cs="Garamond"/>
        </w:rPr>
      </w:pPr>
      <w:r w:rsidRPr="00090D0D">
        <w:rPr>
          <w:rFonts w:ascii="Garamond" w:eastAsia="Garamond" w:hAnsi="Garamond" w:cs="Garamond"/>
        </w:rPr>
        <w:t>2</w:t>
      </w:r>
      <w:r w:rsidR="0E5915C0" w:rsidRPr="00090D0D">
        <w:rPr>
          <w:rFonts w:ascii="Garamond" w:eastAsia="Garamond" w:hAnsi="Garamond" w:cs="Garamond"/>
        </w:rPr>
        <w:t xml:space="preserve">. </w:t>
      </w:r>
      <w:r w:rsidR="38F2ED62" w:rsidRPr="00090D0D">
        <w:rPr>
          <w:rFonts w:ascii="Garamond" w:eastAsia="Garamond" w:hAnsi="Garamond" w:cs="Garamond"/>
        </w:rPr>
        <w:t>Introduction</w:t>
      </w:r>
      <w:bookmarkEnd w:id="0"/>
    </w:p>
    <w:p w14:paraId="0D5E9EF5" w14:textId="77777777" w:rsidR="00BD5EC1" w:rsidRDefault="0BB79A73" w:rsidP="5CFCAD25">
      <w:pPr>
        <w:spacing w:after="0" w:line="240" w:lineRule="auto"/>
        <w:rPr>
          <w:rFonts w:ascii="Garamond" w:eastAsia="Garamond" w:hAnsi="Garamond" w:cs="Garamond"/>
          <w:b/>
          <w:bCs/>
          <w:i/>
          <w:iCs/>
        </w:rPr>
      </w:pPr>
      <w:bookmarkStart w:id="1" w:name="_Toc334198721"/>
      <w:r w:rsidRPr="5CFCAD25">
        <w:rPr>
          <w:rFonts w:ascii="Garamond" w:eastAsia="Garamond" w:hAnsi="Garamond" w:cs="Garamond"/>
          <w:b/>
          <w:bCs/>
          <w:i/>
          <w:iCs/>
        </w:rPr>
        <w:t xml:space="preserve">2.1 </w:t>
      </w:r>
      <w:r w:rsidR="1D97F99A" w:rsidRPr="5CFCAD25">
        <w:rPr>
          <w:rFonts w:ascii="Garamond" w:eastAsia="Garamond" w:hAnsi="Garamond" w:cs="Garamond"/>
          <w:b/>
          <w:bCs/>
          <w:i/>
          <w:iCs/>
        </w:rPr>
        <w:t>Background Information</w:t>
      </w:r>
      <w:bookmarkEnd w:id="1"/>
    </w:p>
    <w:p w14:paraId="39E8304A" w14:textId="4D3DC4A4" w:rsidR="00C15E9C" w:rsidRPr="00090D0D" w:rsidRDefault="2F6E1C2D" w:rsidP="5CFCAD25">
      <w:pPr>
        <w:spacing w:after="0" w:line="240" w:lineRule="auto"/>
        <w:rPr>
          <w:rFonts w:ascii="Garamond" w:eastAsia="Garamond" w:hAnsi="Garamond" w:cs="Garamond"/>
          <w:color w:val="000000" w:themeColor="text1"/>
        </w:rPr>
      </w:pPr>
      <w:r w:rsidRPr="5CFCAD25">
        <w:rPr>
          <w:rFonts w:ascii="Garamond" w:eastAsia="Garamond" w:hAnsi="Garamond" w:cs="Garamond"/>
        </w:rPr>
        <w:t>Wildfires in Central Chile have been increasing in frequency, and destructive capacity, threatening ecosystems and posing a significant risk to human populations (</w:t>
      </w:r>
      <w:proofErr w:type="spellStart"/>
      <w:r w:rsidR="017CC01F" w:rsidRPr="5CFCAD25">
        <w:rPr>
          <w:rFonts w:ascii="Garamond" w:eastAsia="Garamond" w:hAnsi="Garamond" w:cs="Garamond"/>
        </w:rPr>
        <w:t>Ú</w:t>
      </w:r>
      <w:r w:rsidR="15E152E0" w:rsidRPr="5CFCAD25">
        <w:rPr>
          <w:rFonts w:ascii="Garamond" w:eastAsia="Garamond" w:hAnsi="Garamond" w:cs="Garamond"/>
        </w:rPr>
        <w:t>beda</w:t>
      </w:r>
      <w:proofErr w:type="spellEnd"/>
      <w:r w:rsidRPr="5CFCAD25">
        <w:rPr>
          <w:rFonts w:ascii="Garamond" w:eastAsia="Garamond" w:hAnsi="Garamond" w:cs="Garamond"/>
        </w:rPr>
        <w:t xml:space="preserve"> </w:t>
      </w:r>
      <w:r w:rsidR="1D52AEB5" w:rsidRPr="5CFCAD25">
        <w:rPr>
          <w:rFonts w:ascii="Garamond" w:eastAsia="Garamond" w:hAnsi="Garamond" w:cs="Garamond"/>
        </w:rPr>
        <w:t xml:space="preserve">&amp; </w:t>
      </w:r>
      <w:proofErr w:type="spellStart"/>
      <w:r w:rsidRPr="5CFCAD25">
        <w:rPr>
          <w:rFonts w:ascii="Garamond" w:eastAsia="Garamond" w:hAnsi="Garamond" w:cs="Garamond"/>
        </w:rPr>
        <w:t>Sarricole</w:t>
      </w:r>
      <w:proofErr w:type="spellEnd"/>
      <w:r w:rsidRPr="5CFCAD25">
        <w:rPr>
          <w:rFonts w:ascii="Garamond" w:eastAsia="Garamond" w:hAnsi="Garamond" w:cs="Garamond"/>
        </w:rPr>
        <w:t>, 2016). Specifically, wildfires destroy habitat, destabilize soils, release carbon, pollute water, destroy crops, harm livestock, destroy homes, cause respiratory distress by reducing air quality, and occasionally cause human mortality (</w:t>
      </w:r>
      <w:proofErr w:type="spellStart"/>
      <w:r w:rsidR="79067DC7" w:rsidRPr="5CFCAD25">
        <w:rPr>
          <w:rFonts w:ascii="Garamond" w:eastAsia="Garamond" w:hAnsi="Garamond" w:cs="Garamond"/>
        </w:rPr>
        <w:t>Úbeda</w:t>
      </w:r>
      <w:proofErr w:type="spellEnd"/>
      <w:r w:rsidR="79067DC7" w:rsidRPr="5CFCAD25">
        <w:rPr>
          <w:rFonts w:ascii="Garamond" w:eastAsia="Garamond" w:hAnsi="Garamond" w:cs="Garamond"/>
        </w:rPr>
        <w:t xml:space="preserve"> </w:t>
      </w:r>
      <w:r w:rsidRPr="5CFCAD25">
        <w:rPr>
          <w:rFonts w:ascii="Garamond" w:eastAsia="Garamond" w:hAnsi="Garamond" w:cs="Garamond"/>
        </w:rPr>
        <w:t xml:space="preserve">&amp; </w:t>
      </w:r>
      <w:proofErr w:type="spellStart"/>
      <w:r w:rsidRPr="5CFCAD25">
        <w:rPr>
          <w:rFonts w:ascii="Garamond" w:eastAsia="Garamond" w:hAnsi="Garamond" w:cs="Garamond"/>
        </w:rPr>
        <w:t>Sarricole</w:t>
      </w:r>
      <w:proofErr w:type="spellEnd"/>
      <w:r w:rsidRPr="5CFCAD25">
        <w:rPr>
          <w:rFonts w:ascii="Garamond" w:eastAsia="Garamond" w:hAnsi="Garamond" w:cs="Garamond"/>
        </w:rPr>
        <w:t>, 2016). The majority of wildfires in Chile are attributed to anthropogenic causes, while only 0.2 percent are attributed to natural ignition, in the form of lightning strikes or volcanoes (CONAF, 2015). However, recent studies have suggested that the proportion of lightning-ignited wildfires is underestimated. For example, Veblen et al. (1995) noted the presence of fire-adapted tree species in southern South America, suggesting the occurrence of natural fires. Regardless, lightning-ignited wildfires are still a significant concern because they tend to burn more acreage than anthropogenic fires despite being less frequent (</w:t>
      </w:r>
      <w:proofErr w:type="spellStart"/>
      <w:r w:rsidR="64052E4D" w:rsidRPr="5CFCAD25">
        <w:rPr>
          <w:rFonts w:ascii="Garamond" w:eastAsia="Garamond" w:hAnsi="Garamond" w:cs="Garamond"/>
        </w:rPr>
        <w:t>Úbeda</w:t>
      </w:r>
      <w:proofErr w:type="spellEnd"/>
      <w:r w:rsidR="64052E4D" w:rsidRPr="5CFCAD25">
        <w:rPr>
          <w:rFonts w:ascii="Garamond" w:eastAsia="Garamond" w:hAnsi="Garamond" w:cs="Garamond"/>
        </w:rPr>
        <w:t xml:space="preserve"> </w:t>
      </w:r>
      <w:r w:rsidRPr="5CFCAD25">
        <w:rPr>
          <w:rFonts w:ascii="Garamond" w:eastAsia="Garamond" w:hAnsi="Garamond" w:cs="Garamond"/>
        </w:rPr>
        <w:t xml:space="preserve">&amp; </w:t>
      </w:r>
      <w:proofErr w:type="spellStart"/>
      <w:r w:rsidRPr="5CFCAD25">
        <w:rPr>
          <w:rFonts w:ascii="Garamond" w:eastAsia="Garamond" w:hAnsi="Garamond" w:cs="Garamond"/>
        </w:rPr>
        <w:t>Sarricole</w:t>
      </w:r>
      <w:proofErr w:type="spellEnd"/>
      <w:r w:rsidRPr="5CFCAD25">
        <w:rPr>
          <w:rFonts w:ascii="Garamond" w:eastAsia="Garamond" w:hAnsi="Garamond" w:cs="Garamond"/>
        </w:rPr>
        <w:t xml:space="preserve">, 2016). The </w:t>
      </w:r>
      <w:proofErr w:type="spellStart"/>
      <w:r w:rsidRPr="5CFCAD25">
        <w:rPr>
          <w:rFonts w:ascii="Garamond" w:eastAsia="Garamond" w:hAnsi="Garamond" w:cs="Garamond"/>
          <w:color w:val="000000" w:themeColor="text1"/>
        </w:rPr>
        <w:t>Corporación</w:t>
      </w:r>
      <w:proofErr w:type="spellEnd"/>
      <w:r w:rsidRPr="5CFCAD25">
        <w:rPr>
          <w:rFonts w:ascii="Garamond" w:eastAsia="Garamond" w:hAnsi="Garamond" w:cs="Garamond"/>
          <w:color w:val="000000" w:themeColor="text1"/>
        </w:rPr>
        <w:t xml:space="preserve"> Nacional </w:t>
      </w:r>
      <w:proofErr w:type="spellStart"/>
      <w:r w:rsidRPr="5CFCAD25">
        <w:rPr>
          <w:rFonts w:ascii="Garamond" w:eastAsia="Garamond" w:hAnsi="Garamond" w:cs="Garamond"/>
          <w:color w:val="000000" w:themeColor="text1"/>
        </w:rPr>
        <w:t>Forestal</w:t>
      </w:r>
      <w:proofErr w:type="spellEnd"/>
      <w:r w:rsidRPr="5CFCAD25">
        <w:rPr>
          <w:rFonts w:ascii="Garamond" w:eastAsia="Garamond" w:hAnsi="Garamond" w:cs="Garamond"/>
          <w:color w:val="000000" w:themeColor="text1"/>
        </w:rPr>
        <w:t xml:space="preserve"> (CONAF) responds to wildfires in Chile and wants to understand the relationship between lightning frequency and wildfire </w:t>
      </w:r>
      <w:proofErr w:type="gramStart"/>
      <w:r w:rsidRPr="5CFCAD25">
        <w:rPr>
          <w:rFonts w:ascii="Garamond" w:eastAsia="Garamond" w:hAnsi="Garamond" w:cs="Garamond"/>
          <w:color w:val="000000" w:themeColor="text1"/>
        </w:rPr>
        <w:t>prevalence, and</w:t>
      </w:r>
      <w:proofErr w:type="gramEnd"/>
      <w:r w:rsidRPr="5CFCAD25">
        <w:rPr>
          <w:rFonts w:ascii="Garamond" w:eastAsia="Garamond" w:hAnsi="Garamond" w:cs="Garamond"/>
          <w:color w:val="000000" w:themeColor="text1"/>
        </w:rPr>
        <w:t xml:space="preserve"> use that relationship to predict lightning-ignited wildfire risks. CONAF is especially interested in central Chile because it is fire prone and encompasses major urban areas adjacent to remote, uninhabited areas.</w:t>
      </w:r>
    </w:p>
    <w:p w14:paraId="65663FF6" w14:textId="392F1470" w:rsidR="0018376E" w:rsidRPr="00090D0D" w:rsidRDefault="0018376E" w:rsidP="0018376E">
      <w:pPr>
        <w:spacing w:after="0" w:line="240" w:lineRule="auto"/>
        <w:rPr>
          <w:rFonts w:ascii="Garamond" w:eastAsia="Garamond" w:hAnsi="Garamond" w:cs="Garamond"/>
          <w:color w:val="000000" w:themeColor="text1"/>
        </w:rPr>
      </w:pPr>
    </w:p>
    <w:p w14:paraId="4B6E76B7" w14:textId="32909886" w:rsidR="00C15E9C" w:rsidRPr="00090D0D" w:rsidRDefault="4060AF77" w:rsidP="5CFCAD25">
      <w:pPr>
        <w:spacing w:after="0" w:line="240" w:lineRule="auto"/>
        <w:rPr>
          <w:rFonts w:ascii="Garamond" w:eastAsia="Garamond" w:hAnsi="Garamond" w:cs="Garamond"/>
        </w:rPr>
      </w:pPr>
      <w:r w:rsidRPr="5CFCAD25">
        <w:rPr>
          <w:rFonts w:ascii="Garamond" w:eastAsia="Garamond" w:hAnsi="Garamond" w:cs="Garamond"/>
          <w:color w:val="000000" w:themeColor="text1"/>
        </w:rPr>
        <w:t>The study area</w:t>
      </w:r>
      <w:r w:rsidR="66F842F3" w:rsidRPr="5CFCAD25">
        <w:rPr>
          <w:rFonts w:ascii="Garamond" w:eastAsia="Garamond" w:hAnsi="Garamond" w:cs="Garamond"/>
          <w:color w:val="000000" w:themeColor="text1"/>
        </w:rPr>
        <w:t xml:space="preserve"> (Figure 1) </w:t>
      </w:r>
      <w:r w:rsidRPr="5CFCAD25">
        <w:rPr>
          <w:rFonts w:ascii="Garamond" w:eastAsia="Garamond" w:hAnsi="Garamond" w:cs="Garamond"/>
        </w:rPr>
        <w:t xml:space="preserve">stretches between Chile’s Eastern and Western borders – the Andes Mountains and the Pacific Ocean, respectively – and extends from Los </w:t>
      </w:r>
      <w:proofErr w:type="spellStart"/>
      <w:r w:rsidRPr="5CFCAD25">
        <w:rPr>
          <w:rFonts w:ascii="Garamond" w:eastAsia="Garamond" w:hAnsi="Garamond" w:cs="Garamond"/>
        </w:rPr>
        <w:t>Vilos</w:t>
      </w:r>
      <w:proofErr w:type="spellEnd"/>
      <w:r w:rsidRPr="5CFCAD25">
        <w:rPr>
          <w:rFonts w:ascii="Garamond" w:eastAsia="Garamond" w:hAnsi="Garamond" w:cs="Garamond"/>
        </w:rPr>
        <w:t xml:space="preserve"> in the north to Rio Negro in the south. The area is highly populated, housing the cities of Santiago, Valparaiso, and others, but also contains large amounts of </w:t>
      </w:r>
      <w:proofErr w:type="spellStart"/>
      <w:r w:rsidRPr="5CFCAD25">
        <w:rPr>
          <w:rFonts w:ascii="Garamond" w:eastAsia="Garamond" w:hAnsi="Garamond" w:cs="Garamond"/>
        </w:rPr>
        <w:t>agro</w:t>
      </w:r>
      <w:proofErr w:type="spellEnd"/>
      <w:r w:rsidRPr="5CFCAD25">
        <w:rPr>
          <w:rFonts w:ascii="Garamond" w:eastAsia="Garamond" w:hAnsi="Garamond" w:cs="Garamond"/>
        </w:rPr>
        <w:t>-grazing-forestry land use (</w:t>
      </w:r>
      <w:proofErr w:type="spellStart"/>
      <w:r w:rsidR="15A9EE4C" w:rsidRPr="5CFCAD25">
        <w:rPr>
          <w:rFonts w:ascii="Garamond" w:eastAsia="Garamond" w:hAnsi="Garamond" w:cs="Garamond"/>
        </w:rPr>
        <w:t>Úbeda</w:t>
      </w:r>
      <w:proofErr w:type="spellEnd"/>
      <w:r w:rsidR="15A9EE4C" w:rsidRPr="5CFCAD25">
        <w:rPr>
          <w:rFonts w:ascii="Garamond" w:eastAsia="Garamond" w:hAnsi="Garamond" w:cs="Garamond"/>
        </w:rPr>
        <w:t xml:space="preserve"> </w:t>
      </w:r>
      <w:r w:rsidRPr="5CFCAD25">
        <w:rPr>
          <w:rFonts w:ascii="Garamond" w:eastAsia="Garamond" w:hAnsi="Garamond" w:cs="Garamond"/>
        </w:rPr>
        <w:t xml:space="preserve">&amp; </w:t>
      </w:r>
      <w:proofErr w:type="spellStart"/>
      <w:r w:rsidRPr="5CFCAD25">
        <w:rPr>
          <w:rFonts w:ascii="Garamond" w:eastAsia="Garamond" w:hAnsi="Garamond" w:cs="Garamond"/>
        </w:rPr>
        <w:t>Sarricole</w:t>
      </w:r>
      <w:proofErr w:type="spellEnd"/>
      <w:r w:rsidRPr="5CFCAD25">
        <w:rPr>
          <w:rFonts w:ascii="Garamond" w:eastAsia="Garamond" w:hAnsi="Garamond" w:cs="Garamond"/>
        </w:rPr>
        <w:t>, 2016). Containing several large population centers, this area of Central Chile is experiencing increases in wildland urban interface, or areas where human development overlaps with fire-prone natural spaces (</w:t>
      </w:r>
      <w:proofErr w:type="spellStart"/>
      <w:r w:rsidRPr="5CFCAD25">
        <w:rPr>
          <w:rFonts w:ascii="Garamond" w:eastAsia="Garamond" w:hAnsi="Garamond" w:cs="Garamond"/>
        </w:rPr>
        <w:t>Garfias</w:t>
      </w:r>
      <w:proofErr w:type="spellEnd"/>
      <w:r w:rsidRPr="5CFCAD25">
        <w:rPr>
          <w:rFonts w:ascii="Garamond" w:eastAsia="Garamond" w:hAnsi="Garamond" w:cs="Garamond"/>
        </w:rPr>
        <w:t xml:space="preserve"> et al., 2012). This area has a Mediterranean climate, which is characterized by warm dry summers and sclerophyllous plant life (Castillo et al., 2020). Silviculture operations are actively replacing native species with pyrophytic invasives – primarily Monterey </w:t>
      </w:r>
      <w:r w:rsidR="1382BA7C" w:rsidRPr="5CFCAD25">
        <w:rPr>
          <w:rFonts w:ascii="Garamond" w:eastAsia="Garamond" w:hAnsi="Garamond" w:cs="Garamond"/>
        </w:rPr>
        <w:t>Pine (</w:t>
      </w:r>
      <w:r w:rsidR="1382BA7C" w:rsidRPr="5CFCAD25">
        <w:rPr>
          <w:rFonts w:ascii="Garamond" w:eastAsia="Garamond" w:hAnsi="Garamond" w:cs="Garamond"/>
          <w:i/>
          <w:iCs/>
        </w:rPr>
        <w:t xml:space="preserve">Pinus radiata) </w:t>
      </w:r>
      <w:r w:rsidR="1382BA7C" w:rsidRPr="5CFCAD25">
        <w:rPr>
          <w:rFonts w:ascii="Garamond" w:eastAsia="Garamond" w:hAnsi="Garamond" w:cs="Garamond"/>
        </w:rPr>
        <w:t>and Blue Gum Eucalyptus</w:t>
      </w:r>
      <w:r w:rsidRPr="5CFCAD25">
        <w:rPr>
          <w:rFonts w:ascii="Garamond" w:eastAsia="Garamond" w:hAnsi="Garamond" w:cs="Garamond"/>
        </w:rPr>
        <w:t xml:space="preserve"> (</w:t>
      </w:r>
      <w:r w:rsidRPr="5CFCAD25">
        <w:rPr>
          <w:rFonts w:ascii="Garamond" w:eastAsia="Garamond" w:hAnsi="Garamond" w:cs="Garamond"/>
          <w:i/>
          <w:iCs/>
        </w:rPr>
        <w:t>Eucalyptus globulus)</w:t>
      </w:r>
      <w:r w:rsidRPr="5CFCAD25">
        <w:rPr>
          <w:rFonts w:ascii="Garamond" w:eastAsia="Garamond" w:hAnsi="Garamond" w:cs="Garamond"/>
        </w:rPr>
        <w:t xml:space="preserve"> (</w:t>
      </w:r>
      <w:proofErr w:type="spellStart"/>
      <w:r w:rsidRPr="5CFCAD25">
        <w:rPr>
          <w:rFonts w:ascii="Garamond" w:eastAsia="Garamond" w:hAnsi="Garamond" w:cs="Garamond"/>
        </w:rPr>
        <w:t>Villacrés</w:t>
      </w:r>
      <w:proofErr w:type="spellEnd"/>
      <w:r w:rsidRPr="5CFCAD25">
        <w:rPr>
          <w:rFonts w:ascii="Garamond" w:eastAsia="Garamond" w:hAnsi="Garamond" w:cs="Garamond"/>
        </w:rPr>
        <w:t xml:space="preserve"> et al., 2019). Climate change is expected to decrease precipitation throughout Chile </w:t>
      </w:r>
      <w:r w:rsidR="792C7161" w:rsidRPr="5CFCAD25">
        <w:rPr>
          <w:rFonts w:ascii="Garamond" w:eastAsia="Garamond" w:hAnsi="Garamond" w:cs="Garamond"/>
          <w:color w:val="333333"/>
        </w:rPr>
        <w:t>(</w:t>
      </w:r>
      <w:proofErr w:type="spellStart"/>
      <w:r w:rsidR="792C7161" w:rsidRPr="5CFCAD25">
        <w:rPr>
          <w:rFonts w:ascii="Garamond" w:eastAsia="Garamond" w:hAnsi="Garamond" w:cs="Garamond"/>
          <w:color w:val="333333"/>
        </w:rPr>
        <w:t>Fuenzalida</w:t>
      </w:r>
      <w:proofErr w:type="spellEnd"/>
      <w:r w:rsidR="792C7161" w:rsidRPr="5CFCAD25">
        <w:rPr>
          <w:rFonts w:ascii="Garamond" w:eastAsia="Garamond" w:hAnsi="Garamond" w:cs="Garamond"/>
          <w:color w:val="333333"/>
        </w:rPr>
        <w:t xml:space="preserve"> et al., 2006)</w:t>
      </w:r>
      <w:r w:rsidRPr="5CFCAD25">
        <w:rPr>
          <w:rFonts w:ascii="Garamond" w:eastAsia="Garamond" w:hAnsi="Garamond" w:cs="Garamond"/>
        </w:rPr>
        <w:t xml:space="preserve"> resulting in an increase in wildfire frequency and burned acreage (González et al., 2011). </w:t>
      </w:r>
      <w:proofErr w:type="spellStart"/>
      <w:r w:rsidRPr="5CFCAD25">
        <w:rPr>
          <w:rFonts w:ascii="Garamond" w:eastAsia="Garamond" w:hAnsi="Garamond" w:cs="Garamond"/>
        </w:rPr>
        <w:t>Villacres</w:t>
      </w:r>
      <w:proofErr w:type="spellEnd"/>
      <w:r w:rsidRPr="5CFCAD25">
        <w:rPr>
          <w:rFonts w:ascii="Garamond" w:eastAsia="Garamond" w:hAnsi="Garamond" w:cs="Garamond"/>
        </w:rPr>
        <w:t xml:space="preserve"> et al.</w:t>
      </w:r>
      <w:r w:rsidR="1355FFBA" w:rsidRPr="5CFCAD25">
        <w:rPr>
          <w:rFonts w:ascii="Garamond" w:eastAsia="Garamond" w:hAnsi="Garamond" w:cs="Garamond"/>
        </w:rPr>
        <w:t xml:space="preserve"> (</w:t>
      </w:r>
      <w:r w:rsidRPr="5CFCAD25">
        <w:rPr>
          <w:rFonts w:ascii="Garamond" w:eastAsia="Garamond" w:hAnsi="Garamond" w:cs="Garamond"/>
        </w:rPr>
        <w:t>2019</w:t>
      </w:r>
      <w:r w:rsidR="4FC2B723" w:rsidRPr="5CFCAD25">
        <w:rPr>
          <w:rFonts w:ascii="Garamond" w:eastAsia="Garamond" w:hAnsi="Garamond" w:cs="Garamond"/>
        </w:rPr>
        <w:t>)</w:t>
      </w:r>
      <w:r w:rsidRPr="5CFCAD25">
        <w:rPr>
          <w:rFonts w:ascii="Garamond" w:eastAsia="Garamond" w:hAnsi="Garamond" w:cs="Garamond"/>
        </w:rPr>
        <w:t xml:space="preserve"> stated that understanding </w:t>
      </w:r>
      <w:r w:rsidRPr="5CFCAD25">
        <w:rPr>
          <w:rFonts w:ascii="Garamond" w:eastAsia="Garamond" w:hAnsi="Garamond" w:cs="Garamond"/>
        </w:rPr>
        <w:lastRenderedPageBreak/>
        <w:t>wildfire risks is crucial to allocate management efforts and suggested using remote sensing as an efficient method to assess risk. The study period ranged from March 1, 2018</w:t>
      </w:r>
      <w:r w:rsidR="005F4DB6">
        <w:rPr>
          <w:rFonts w:ascii="Garamond" w:eastAsia="Garamond" w:hAnsi="Garamond" w:cs="Garamond"/>
        </w:rPr>
        <w:t>,</w:t>
      </w:r>
      <w:r w:rsidRPr="5CFCAD25">
        <w:rPr>
          <w:rFonts w:ascii="Garamond" w:eastAsia="Garamond" w:hAnsi="Garamond" w:cs="Garamond"/>
        </w:rPr>
        <w:t xml:space="preserve"> through February 28, 2022. This was determined by availability of lightning occurrence data and the need to use a temporal range that represented more recent climatic conditions, as both the literature and CONAF have noted that fire regimes are changing with climate change (</w:t>
      </w:r>
      <w:proofErr w:type="spellStart"/>
      <w:r w:rsidR="09D39C65" w:rsidRPr="5CFCAD25">
        <w:rPr>
          <w:rFonts w:ascii="Garamond" w:eastAsia="Garamond" w:hAnsi="Garamond" w:cs="Garamond"/>
        </w:rPr>
        <w:t>Ú</w:t>
      </w:r>
      <w:r w:rsidR="2F6E1C2D" w:rsidRPr="5CFCAD25">
        <w:rPr>
          <w:rFonts w:ascii="Garamond" w:eastAsia="Garamond" w:hAnsi="Garamond" w:cs="Garamond"/>
        </w:rPr>
        <w:t>beda</w:t>
      </w:r>
      <w:proofErr w:type="spellEnd"/>
      <w:r w:rsidR="09D39C65" w:rsidRPr="5CFCAD25">
        <w:rPr>
          <w:rFonts w:ascii="Garamond" w:eastAsia="Garamond" w:hAnsi="Garamond" w:cs="Garamond"/>
        </w:rPr>
        <w:t xml:space="preserve"> </w:t>
      </w:r>
      <w:r w:rsidRPr="5CFCAD25">
        <w:rPr>
          <w:rFonts w:ascii="Garamond" w:eastAsia="Garamond" w:hAnsi="Garamond" w:cs="Garamond"/>
        </w:rPr>
        <w:t xml:space="preserve">&amp; </w:t>
      </w:r>
      <w:proofErr w:type="spellStart"/>
      <w:r w:rsidRPr="5CFCAD25">
        <w:rPr>
          <w:rFonts w:ascii="Garamond" w:eastAsia="Garamond" w:hAnsi="Garamond" w:cs="Garamond"/>
        </w:rPr>
        <w:t>Sarricole</w:t>
      </w:r>
      <w:proofErr w:type="spellEnd"/>
      <w:r w:rsidRPr="5CFCAD25">
        <w:rPr>
          <w:rFonts w:ascii="Garamond" w:eastAsia="Garamond" w:hAnsi="Garamond" w:cs="Garamond"/>
        </w:rPr>
        <w:t>, 2016).</w:t>
      </w:r>
    </w:p>
    <w:p w14:paraId="4B1785BE" w14:textId="7C45D352" w:rsidR="00C15E9C" w:rsidRPr="00090D0D" w:rsidRDefault="00C15E9C" w:rsidP="3C6A40F0">
      <w:pPr>
        <w:spacing w:after="0" w:line="240" w:lineRule="auto"/>
        <w:rPr>
          <w:rFonts w:ascii="Garamond" w:eastAsia="Garamond" w:hAnsi="Garamond" w:cs="Garamond"/>
        </w:rPr>
      </w:pPr>
    </w:p>
    <w:p w14:paraId="4931DC59" w14:textId="53C2B71C" w:rsidR="7821F5A9" w:rsidRPr="00090D0D" w:rsidRDefault="7821F5A9" w:rsidP="3C6A40F0">
      <w:pPr>
        <w:spacing w:after="0" w:line="240" w:lineRule="auto"/>
        <w:jc w:val="center"/>
        <w:rPr>
          <w:rFonts w:ascii="Garamond" w:eastAsia="Garamond" w:hAnsi="Garamond" w:cs="Garamond"/>
        </w:rPr>
      </w:pPr>
    </w:p>
    <w:p w14:paraId="7791BA42" w14:textId="2929604B" w:rsidR="094F0F4F" w:rsidRPr="00090D0D" w:rsidRDefault="792C7161" w:rsidP="3C6A40F0">
      <w:pPr>
        <w:spacing w:after="0" w:line="240" w:lineRule="auto"/>
        <w:jc w:val="center"/>
        <w:rPr>
          <w:rFonts w:ascii="Garamond" w:eastAsia="Garamond" w:hAnsi="Garamond" w:cs="Garamond"/>
        </w:rPr>
      </w:pPr>
      <w:r w:rsidRPr="00090D0D">
        <w:rPr>
          <w:rFonts w:ascii="Garamond" w:hAnsi="Garamond"/>
          <w:noProof/>
        </w:rPr>
        <w:drawing>
          <wp:inline distT="0" distB="0" distL="0" distR="0" wp14:anchorId="583E7E1B" wp14:editId="4FDF2AA0">
            <wp:extent cx="3505200" cy="4572000"/>
            <wp:effectExtent l="0" t="0" r="0" b="0"/>
            <wp:docPr id="1453535188" name="Picture 145353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5200" cy="4572000"/>
                    </a:xfrm>
                    <a:prstGeom prst="rect">
                      <a:avLst/>
                    </a:prstGeom>
                  </pic:spPr>
                </pic:pic>
              </a:graphicData>
            </a:graphic>
          </wp:inline>
        </w:drawing>
      </w:r>
    </w:p>
    <w:p w14:paraId="5301D190" w14:textId="5246D2FB" w:rsidR="7821F5A9" w:rsidRPr="00090D0D" w:rsidRDefault="1C7B1255" w:rsidP="3C6A40F0">
      <w:pPr>
        <w:spacing w:after="0" w:line="240" w:lineRule="auto"/>
        <w:jc w:val="center"/>
        <w:rPr>
          <w:rFonts w:ascii="Garamond" w:eastAsia="Garamond" w:hAnsi="Garamond" w:cs="Garamond"/>
          <w:i/>
          <w:iCs/>
        </w:rPr>
      </w:pPr>
      <w:r w:rsidRPr="00090D0D">
        <w:rPr>
          <w:rFonts w:ascii="Garamond" w:eastAsia="Garamond" w:hAnsi="Garamond" w:cs="Garamond"/>
          <w:i/>
          <w:iCs/>
        </w:rPr>
        <w:t xml:space="preserve">Figure 1. </w:t>
      </w:r>
      <w:r w:rsidRPr="00090D0D">
        <w:rPr>
          <w:rFonts w:ascii="Garamond" w:eastAsia="Garamond" w:hAnsi="Garamond" w:cs="Garamond"/>
        </w:rPr>
        <w:t xml:space="preserve">Central Chile study area with an inset showing the location in relation to the rest of Chile and South America. </w:t>
      </w:r>
    </w:p>
    <w:p w14:paraId="746FF493" w14:textId="07E47BDD" w:rsidR="67FF4B55" w:rsidRPr="00090D0D" w:rsidRDefault="417A6A0E" w:rsidP="3C6A40F0">
      <w:pPr>
        <w:spacing w:after="0" w:line="240" w:lineRule="auto"/>
        <w:rPr>
          <w:rFonts w:ascii="Garamond" w:eastAsia="Garamond" w:hAnsi="Garamond" w:cs="Garamond"/>
        </w:rPr>
      </w:pPr>
      <w:r w:rsidRPr="00090D0D">
        <w:rPr>
          <w:rFonts w:ascii="Garamond" w:eastAsia="Garamond" w:hAnsi="Garamond" w:cs="Garamond"/>
          <w:b/>
          <w:bCs/>
          <w:i/>
          <w:iCs/>
        </w:rPr>
        <w:t xml:space="preserve">2.2 </w:t>
      </w:r>
      <w:r w:rsidR="1D97F99A" w:rsidRPr="00090D0D">
        <w:rPr>
          <w:rFonts w:ascii="Garamond" w:eastAsia="Garamond" w:hAnsi="Garamond" w:cs="Garamond"/>
          <w:b/>
          <w:bCs/>
          <w:i/>
          <w:iCs/>
        </w:rPr>
        <w:t xml:space="preserve">Project </w:t>
      </w:r>
      <w:r w:rsidR="66C3B0E2" w:rsidRPr="00090D0D">
        <w:rPr>
          <w:rFonts w:ascii="Garamond" w:eastAsia="Garamond" w:hAnsi="Garamond" w:cs="Garamond"/>
          <w:b/>
          <w:bCs/>
          <w:i/>
          <w:iCs/>
        </w:rPr>
        <w:t>Partners &amp; Objectives</w:t>
      </w:r>
    </w:p>
    <w:p w14:paraId="3D28BDE0" w14:textId="7038259E" w:rsidR="67FF4B55" w:rsidRPr="00090D0D" w:rsidRDefault="4FA5B665" w:rsidP="09D39C65">
      <w:pPr>
        <w:spacing w:after="0" w:line="240" w:lineRule="auto"/>
        <w:rPr>
          <w:rFonts w:ascii="Garamond" w:eastAsia="Garamond" w:hAnsi="Garamond" w:cs="Garamond"/>
        </w:rPr>
      </w:pPr>
      <w:r w:rsidRPr="00090D0D">
        <w:rPr>
          <w:rFonts w:ascii="Garamond" w:eastAsia="Garamond" w:hAnsi="Garamond" w:cs="Garamond"/>
        </w:rPr>
        <w:t xml:space="preserve">CONAF </w:t>
      </w:r>
      <w:r w:rsidRPr="00090D0D">
        <w:rPr>
          <w:rFonts w:ascii="Garamond" w:eastAsia="Garamond" w:hAnsi="Garamond" w:cs="Garamond"/>
          <w:color w:val="000000" w:themeColor="text1"/>
        </w:rPr>
        <w:t xml:space="preserve">is responsible for sustainable management of Chile’s forests via planning for, preventing, detecting, monitoring, and suppressing wildfires in Chile’s forested and protected areas. The Embassy of Chile, Agricultural Office, serves as a liaison between Chilean and United States government offices and facilitates partnerships between NASA and Chile, with the goal of using remote sensing technology to improve </w:t>
      </w:r>
      <w:r w:rsidR="019AF247" w:rsidRPr="00090D0D">
        <w:rPr>
          <w:rFonts w:ascii="Garamond" w:eastAsia="Garamond" w:hAnsi="Garamond" w:cs="Garamond"/>
          <w:color w:val="000000" w:themeColor="text1"/>
        </w:rPr>
        <w:t>wildfire management</w:t>
      </w:r>
      <w:r w:rsidRPr="00090D0D">
        <w:rPr>
          <w:rFonts w:ascii="Garamond" w:eastAsia="Garamond" w:hAnsi="Garamond" w:cs="Garamond"/>
          <w:color w:val="000000" w:themeColor="text1"/>
        </w:rPr>
        <w:t xml:space="preserve">. The partners aim to protect Chilean ecosystems, human population, and critical resources for economic stability and safety. CONAF believes that lightning is a significant contributor to wildfires in central Chile, yet the relationship between lightning occurrence and wildfire ignitions is not well known. Similarly, the relative risk of lightning-ignited wildfires occurring across the study area is unknown. </w:t>
      </w:r>
    </w:p>
    <w:p w14:paraId="45EA54AD" w14:textId="5A243958" w:rsidR="67FF4B55" w:rsidRPr="00090D0D" w:rsidRDefault="67FF4B55" w:rsidP="09D39C65">
      <w:pPr>
        <w:spacing w:after="0" w:line="240" w:lineRule="auto"/>
        <w:rPr>
          <w:rFonts w:ascii="Garamond" w:eastAsia="Garamond" w:hAnsi="Garamond" w:cs="Garamond"/>
          <w:color w:val="000000" w:themeColor="text1"/>
        </w:rPr>
      </w:pPr>
    </w:p>
    <w:p w14:paraId="49059630" w14:textId="574853D4" w:rsidR="67FF4B55" w:rsidRPr="00090D0D" w:rsidRDefault="4FA5B665" w:rsidP="3C6A40F0">
      <w:pPr>
        <w:spacing w:after="0" w:line="240" w:lineRule="auto"/>
        <w:rPr>
          <w:rFonts w:ascii="Garamond" w:eastAsia="Garamond" w:hAnsi="Garamond" w:cs="Garamond"/>
        </w:rPr>
      </w:pPr>
      <w:r w:rsidRPr="00090D0D">
        <w:rPr>
          <w:rFonts w:ascii="Garamond" w:eastAsia="Garamond" w:hAnsi="Garamond" w:cs="Garamond"/>
          <w:color w:val="000000" w:themeColor="text1"/>
        </w:rPr>
        <w:t xml:space="preserve">To help the partners meet their goals, this project sought to visually determine the spatial relationship between lightning occurrence and wildfires, and to create a map of lightning-ignited wildfire relative risk. Specifically, the team (1) mapped past lightning strikes and historic wildfires from March 2018 through February 2022, (2) analyzed the spatiotemporal relationship between lightning strikes density and wildfire </w:t>
      </w:r>
      <w:r w:rsidRPr="00090D0D">
        <w:rPr>
          <w:rFonts w:ascii="Garamond" w:eastAsia="Garamond" w:hAnsi="Garamond" w:cs="Garamond"/>
          <w:color w:val="000000" w:themeColor="text1"/>
        </w:rPr>
        <w:lastRenderedPageBreak/>
        <w:t>ignition, (3) calculated and mapped the Normalized Difference Moisture Index (NDMI), and (4) calculated and mapped the relative risk of lightning-ignited wildfire risk. The maps created as part of these objectives will provide the partners with a visual understanding of where lightning-ignited wildfires can be expected to occur. CONAF can use the information to allocate fire detection, prevention, and suppression resources.</w:t>
      </w:r>
    </w:p>
    <w:p w14:paraId="11A75BB2" w14:textId="5CCCEA2B" w:rsidR="67FF4B55" w:rsidRPr="00090D0D" w:rsidRDefault="67FF4B55" w:rsidP="67FF4B55">
      <w:pPr>
        <w:spacing w:after="0" w:line="240" w:lineRule="auto"/>
        <w:rPr>
          <w:rFonts w:ascii="Garamond" w:eastAsia="Garamond" w:hAnsi="Garamond" w:cs="Garamond"/>
          <w:color w:val="000000" w:themeColor="text1"/>
        </w:rPr>
      </w:pPr>
    </w:p>
    <w:p w14:paraId="7F616EAE" w14:textId="404F040B" w:rsidR="6405C3D1" w:rsidRPr="00090D0D" w:rsidRDefault="6405C3D1" w:rsidP="3C6A40F0">
      <w:pPr>
        <w:pStyle w:val="Heading1"/>
        <w:spacing w:before="0" w:line="240" w:lineRule="auto"/>
        <w:rPr>
          <w:rFonts w:ascii="Garamond" w:eastAsia="Garamond" w:hAnsi="Garamond" w:cs="Garamond"/>
        </w:rPr>
      </w:pPr>
      <w:bookmarkStart w:id="2" w:name="_Toc334198726"/>
      <w:r w:rsidRPr="00090D0D">
        <w:rPr>
          <w:rFonts w:ascii="Garamond" w:eastAsia="Garamond" w:hAnsi="Garamond" w:cs="Garamond"/>
        </w:rPr>
        <w:t>3</w:t>
      </w:r>
      <w:r w:rsidR="2AB96DBE" w:rsidRPr="00090D0D">
        <w:rPr>
          <w:rFonts w:ascii="Garamond" w:eastAsia="Garamond" w:hAnsi="Garamond" w:cs="Garamond"/>
        </w:rPr>
        <w:t xml:space="preserve">. </w:t>
      </w:r>
      <w:r w:rsidR="2826D6EF" w:rsidRPr="00090D0D">
        <w:rPr>
          <w:rFonts w:ascii="Garamond" w:eastAsia="Garamond" w:hAnsi="Garamond" w:cs="Garamond"/>
        </w:rPr>
        <w:t>Methodology</w:t>
      </w:r>
      <w:bookmarkEnd w:id="2"/>
    </w:p>
    <w:p w14:paraId="6E36C5DC" w14:textId="3D2C5893" w:rsidR="00A43059" w:rsidRPr="00090D0D" w:rsidRDefault="42534770" w:rsidP="3C6A40F0">
      <w:pPr>
        <w:spacing w:after="0" w:line="240" w:lineRule="auto"/>
        <w:rPr>
          <w:rFonts w:ascii="Garamond" w:eastAsia="Garamond" w:hAnsi="Garamond" w:cs="Garamond"/>
          <w:b/>
          <w:bCs/>
          <w:i/>
          <w:iCs/>
        </w:rPr>
      </w:pPr>
      <w:r w:rsidRPr="00090D0D">
        <w:rPr>
          <w:rFonts w:ascii="Garamond" w:eastAsia="Garamond" w:hAnsi="Garamond" w:cs="Garamond"/>
          <w:b/>
          <w:bCs/>
          <w:i/>
          <w:iCs/>
        </w:rPr>
        <w:t xml:space="preserve">3.1 Data Acquisition </w:t>
      </w:r>
    </w:p>
    <w:p w14:paraId="2F505F18" w14:textId="703BB821" w:rsidR="094F0F4F" w:rsidRPr="00090D0D" w:rsidRDefault="792C7161" w:rsidP="3C6A40F0">
      <w:pPr>
        <w:spacing w:after="0" w:line="240" w:lineRule="auto"/>
        <w:rPr>
          <w:rFonts w:ascii="Garamond" w:eastAsia="Garamond" w:hAnsi="Garamond" w:cs="Garamond"/>
          <w:b/>
          <w:bCs/>
        </w:rPr>
      </w:pPr>
      <w:r w:rsidRPr="00090D0D">
        <w:rPr>
          <w:rFonts w:ascii="Garamond" w:eastAsia="Garamond" w:hAnsi="Garamond" w:cs="Garamond"/>
        </w:rPr>
        <w:t>The team downloaded all data for the entire study period from March 1, 2018 – when lightning data first became reliabl</w:t>
      </w:r>
      <w:r w:rsidR="00BD5EC1">
        <w:rPr>
          <w:rFonts w:ascii="Garamond" w:eastAsia="Garamond" w:hAnsi="Garamond" w:cs="Garamond"/>
        </w:rPr>
        <w:t>y available</w:t>
      </w:r>
      <w:r w:rsidRPr="00090D0D">
        <w:rPr>
          <w:rFonts w:ascii="Garamond" w:eastAsia="Garamond" w:hAnsi="Garamond" w:cs="Garamond"/>
        </w:rPr>
        <w:t xml:space="preserve"> – through February 28, 2022. Additionally, the team subset all data products into</w:t>
      </w:r>
      <w:r w:rsidR="00AB383C">
        <w:rPr>
          <w:rFonts w:ascii="Garamond" w:eastAsia="Garamond" w:hAnsi="Garamond" w:cs="Garamond"/>
        </w:rPr>
        <w:t xml:space="preserve"> the</w:t>
      </w:r>
      <w:r w:rsidRPr="00090D0D">
        <w:rPr>
          <w:rFonts w:ascii="Garamond" w:eastAsia="Garamond" w:hAnsi="Garamond" w:cs="Garamond"/>
        </w:rPr>
        <w:t xml:space="preserve"> fire season, December through March, and the off season, April through November, in order to examine seasonal trends. Grouping into fire and off season was either performed prior to downloading, or during data processing, depending on the data.</w:t>
      </w:r>
    </w:p>
    <w:p w14:paraId="116150A0" w14:textId="14C9E986" w:rsidR="094F0F4F" w:rsidRPr="00090D0D" w:rsidRDefault="094F0F4F" w:rsidP="3C6A40F0">
      <w:pPr>
        <w:spacing w:after="0" w:line="240" w:lineRule="auto"/>
        <w:rPr>
          <w:rFonts w:ascii="Garamond" w:eastAsia="Garamond" w:hAnsi="Garamond" w:cs="Garamond"/>
          <w:b/>
          <w:bCs/>
        </w:rPr>
      </w:pPr>
    </w:p>
    <w:p w14:paraId="7BFC3080" w14:textId="1D9DBAEF" w:rsidR="4B085A81" w:rsidRPr="00090D0D" w:rsidRDefault="4B085A81" w:rsidP="3C6A40F0">
      <w:pPr>
        <w:spacing w:after="0" w:line="240" w:lineRule="auto"/>
        <w:rPr>
          <w:rFonts w:ascii="Garamond" w:eastAsia="Garamond" w:hAnsi="Garamond" w:cs="Garamond"/>
        </w:rPr>
      </w:pPr>
      <w:r w:rsidRPr="00090D0D">
        <w:rPr>
          <w:rFonts w:ascii="Garamond" w:eastAsia="Garamond" w:hAnsi="Garamond" w:cs="Garamond"/>
        </w:rPr>
        <w:t xml:space="preserve">The team acquired the National Oceanic and Atmospheric Administration (NOAA) GOES-16 Geostationary Lightning Mapper (GLM) L2 data from the NOAA Amazon Web Services S3 data archive using an Amazon Web Services Command Line Interface direct copy script. </w:t>
      </w:r>
    </w:p>
    <w:p w14:paraId="71B8F445" w14:textId="75377D01" w:rsidR="094F0F4F" w:rsidRPr="00090D0D" w:rsidRDefault="094F0F4F" w:rsidP="3C6A40F0">
      <w:pPr>
        <w:spacing w:after="0" w:line="240" w:lineRule="auto"/>
        <w:rPr>
          <w:rFonts w:ascii="Garamond" w:eastAsia="Garamond" w:hAnsi="Garamond" w:cs="Garamond"/>
          <w:highlight w:val="yellow"/>
        </w:rPr>
      </w:pPr>
    </w:p>
    <w:p w14:paraId="004E92B0" w14:textId="7D5E014C" w:rsidR="00A43059" w:rsidRPr="00090D0D" w:rsidRDefault="50521690" w:rsidP="094F0F4F">
      <w:pPr>
        <w:spacing w:after="0" w:line="240" w:lineRule="auto"/>
        <w:rPr>
          <w:rFonts w:ascii="Garamond" w:eastAsia="Garamond" w:hAnsi="Garamond" w:cs="Garamond"/>
          <w:color w:val="242424"/>
        </w:rPr>
      </w:pPr>
      <w:r w:rsidRPr="00090D0D">
        <w:rPr>
          <w:rFonts w:ascii="Garamond" w:eastAsia="Garamond" w:hAnsi="Garamond" w:cs="Garamond"/>
        </w:rPr>
        <w:t xml:space="preserve">The team accessed Active Fire Product (AFP) data </w:t>
      </w:r>
      <w:r w:rsidR="4C9C147A" w:rsidRPr="00090D0D">
        <w:rPr>
          <w:rFonts w:ascii="Garamond" w:eastAsia="Garamond" w:hAnsi="Garamond" w:cs="Garamond"/>
        </w:rPr>
        <w:t>from Suomi NPP VIIRS via NASA’s Fire Information for Resource Management System (FIRMS) as two separate data sets. The archive data contained thermal anomaly points that occurred from the beginning of our study period through December 31, 2021.</w:t>
      </w:r>
      <w:r w:rsidR="792C7161" w:rsidRPr="00090D0D">
        <w:rPr>
          <w:rFonts w:ascii="Garamond" w:eastAsia="Garamond" w:hAnsi="Garamond" w:cs="Garamond"/>
        </w:rPr>
        <w:t xml:space="preserve"> </w:t>
      </w:r>
      <w:r w:rsidR="4C9C147A" w:rsidRPr="00090D0D">
        <w:rPr>
          <w:rFonts w:ascii="Garamond" w:eastAsia="Garamond" w:hAnsi="Garamond" w:cs="Garamond"/>
        </w:rPr>
        <w:t>The near real time (NRT) data set contained thermal anomaly points that occurred from January 1, 2022</w:t>
      </w:r>
      <w:r w:rsidR="00AB383C">
        <w:rPr>
          <w:rFonts w:ascii="Garamond" w:eastAsia="Garamond" w:hAnsi="Garamond" w:cs="Garamond"/>
        </w:rPr>
        <w:t>,</w:t>
      </w:r>
      <w:r w:rsidR="4C9C147A" w:rsidRPr="00090D0D">
        <w:rPr>
          <w:rFonts w:ascii="Garamond" w:eastAsia="Garamond" w:hAnsi="Garamond" w:cs="Garamond"/>
        </w:rPr>
        <w:t xml:space="preserve"> through the end of our study period. The team </w:t>
      </w:r>
      <w:r w:rsidR="00AB383C">
        <w:rPr>
          <w:rFonts w:ascii="Garamond" w:eastAsia="Garamond" w:hAnsi="Garamond" w:cs="Garamond"/>
        </w:rPr>
        <w:t>worked under the assumption</w:t>
      </w:r>
      <w:r w:rsidR="4C9C147A" w:rsidRPr="00090D0D">
        <w:rPr>
          <w:rFonts w:ascii="Garamond" w:eastAsia="Garamond" w:hAnsi="Garamond" w:cs="Garamond"/>
        </w:rPr>
        <w:t xml:space="preserve"> that thermal anomalies represented fires, so the two terms can be considered interchangeable hereafter. </w:t>
      </w:r>
      <w:r w:rsidR="08B6FC34" w:rsidRPr="00090D0D">
        <w:rPr>
          <w:rFonts w:ascii="Garamond" w:eastAsia="Garamond" w:hAnsi="Garamond" w:cs="Garamond"/>
          <w:color w:val="242424"/>
        </w:rPr>
        <w:t xml:space="preserve">The team acquired Suomi NPP VIIRS Land Surface Temperature and Emissivity (LST) data from USGS and NASA </w:t>
      </w:r>
      <w:proofErr w:type="spellStart"/>
      <w:r w:rsidR="00AB383C">
        <w:rPr>
          <w:rFonts w:ascii="Garamond" w:eastAsia="Garamond" w:hAnsi="Garamond" w:cs="Garamond"/>
          <w:color w:val="242424"/>
        </w:rPr>
        <w:t>Earthdata</w:t>
      </w:r>
      <w:proofErr w:type="spellEnd"/>
      <w:r w:rsidR="00AB383C" w:rsidRPr="00090D0D">
        <w:rPr>
          <w:rFonts w:ascii="Garamond" w:eastAsia="Garamond" w:hAnsi="Garamond" w:cs="Garamond"/>
          <w:color w:val="242424"/>
        </w:rPr>
        <w:t xml:space="preserve"> </w:t>
      </w:r>
      <w:r w:rsidR="08B6FC34" w:rsidRPr="00090D0D">
        <w:rPr>
          <w:rFonts w:ascii="Garamond" w:eastAsia="Garamond" w:hAnsi="Garamond" w:cs="Garamond"/>
          <w:color w:val="242424"/>
        </w:rPr>
        <w:t xml:space="preserve">as a collection of hierarchal data format (HDF) files. The data were filtered to the study area and time period prior to downloading using the </w:t>
      </w:r>
      <w:proofErr w:type="spellStart"/>
      <w:r w:rsidR="00AB383C">
        <w:rPr>
          <w:rFonts w:ascii="Garamond" w:eastAsia="Garamond" w:hAnsi="Garamond" w:cs="Garamond"/>
          <w:color w:val="242424"/>
        </w:rPr>
        <w:t>Earthdata</w:t>
      </w:r>
      <w:proofErr w:type="spellEnd"/>
      <w:r w:rsidR="00AB383C" w:rsidRPr="00090D0D">
        <w:rPr>
          <w:rFonts w:ascii="Garamond" w:eastAsia="Garamond" w:hAnsi="Garamond" w:cs="Garamond"/>
          <w:color w:val="242424"/>
        </w:rPr>
        <w:t xml:space="preserve"> </w:t>
      </w:r>
      <w:r w:rsidR="08B6FC34" w:rsidRPr="00090D0D">
        <w:rPr>
          <w:rFonts w:ascii="Garamond" w:eastAsia="Garamond" w:hAnsi="Garamond" w:cs="Garamond"/>
          <w:color w:val="242424"/>
        </w:rPr>
        <w:t xml:space="preserve">graphical user interface. The </w:t>
      </w:r>
      <w:proofErr w:type="spellStart"/>
      <w:r w:rsidR="00AB383C">
        <w:rPr>
          <w:rFonts w:ascii="Garamond" w:eastAsia="Garamond" w:hAnsi="Garamond" w:cs="Garamond"/>
          <w:color w:val="242424"/>
        </w:rPr>
        <w:t>Earthdata</w:t>
      </w:r>
      <w:proofErr w:type="spellEnd"/>
      <w:r w:rsidR="08B6FC34" w:rsidRPr="00090D0D">
        <w:rPr>
          <w:rFonts w:ascii="Garamond" w:eastAsia="Garamond" w:hAnsi="Garamond" w:cs="Garamond"/>
          <w:color w:val="242424"/>
        </w:rPr>
        <w:t xml:space="preserve"> portal automatically generated a Git script that the team used to download the data in bulk. Seasonal subsets were downloaded using the same procedures.</w:t>
      </w:r>
    </w:p>
    <w:p w14:paraId="4F7C0A09" w14:textId="41B4DDE6" w:rsidR="6B62E6A3" w:rsidRPr="00090D0D" w:rsidRDefault="6B62E6A3" w:rsidP="094F0F4F">
      <w:pPr>
        <w:spacing w:after="0" w:line="240" w:lineRule="auto"/>
        <w:rPr>
          <w:rFonts w:ascii="Garamond" w:eastAsia="Garamond" w:hAnsi="Garamond" w:cs="Garamond"/>
          <w:color w:val="242424"/>
          <w:sz w:val="21"/>
          <w:szCs w:val="21"/>
        </w:rPr>
      </w:pPr>
    </w:p>
    <w:p w14:paraId="22F5ADA6" w14:textId="7DFECC0C" w:rsidR="00A43059" w:rsidRPr="00090D0D" w:rsidRDefault="14F274D3" w:rsidP="1DC34AF4">
      <w:pPr>
        <w:spacing w:after="0" w:line="240" w:lineRule="auto"/>
        <w:rPr>
          <w:rFonts w:ascii="Garamond" w:eastAsia="Garamond" w:hAnsi="Garamond" w:cs="Garamond"/>
          <w:color w:val="000000" w:themeColor="text1"/>
        </w:rPr>
      </w:pPr>
      <w:r w:rsidRPr="00090D0D">
        <w:rPr>
          <w:rFonts w:ascii="Garamond" w:eastAsia="Garamond" w:hAnsi="Garamond" w:cs="Garamond"/>
          <w:color w:val="000000" w:themeColor="text1"/>
        </w:rPr>
        <w:t>T</w:t>
      </w:r>
      <w:r w:rsidR="12AFD894" w:rsidRPr="00090D0D">
        <w:rPr>
          <w:rFonts w:ascii="Garamond" w:eastAsia="Garamond" w:hAnsi="Garamond" w:cs="Garamond"/>
          <w:color w:val="000000" w:themeColor="text1"/>
        </w:rPr>
        <w:t xml:space="preserve">he team acquired collection 2, tier 1, level 2 Landsat 8 Operational Land Imager (OLI) data for the entire study period via GEE at a spatial resolution of 30 square meter pixels (Table 1). </w:t>
      </w:r>
      <w:r w:rsidR="00AB383C">
        <w:rPr>
          <w:rFonts w:ascii="Garamond" w:eastAsia="Garamond" w:hAnsi="Garamond" w:cs="Garamond"/>
          <w:color w:val="000000" w:themeColor="text1"/>
        </w:rPr>
        <w:t>The team</w:t>
      </w:r>
      <w:r w:rsidR="12AFD894" w:rsidRPr="00090D0D">
        <w:rPr>
          <w:rFonts w:ascii="Garamond" w:eastAsia="Garamond" w:hAnsi="Garamond" w:cs="Garamond"/>
          <w:color w:val="000000" w:themeColor="text1"/>
        </w:rPr>
        <w:t xml:space="preserve"> masked by removing all cloud, dilated cloud, and cloud shadow pixels and then median reduced prior to downloading. The same procedures were used to produce seasonal subsets.</w:t>
      </w:r>
    </w:p>
    <w:p w14:paraId="770FF249" w14:textId="77777777" w:rsidR="00AB383C" w:rsidRDefault="00AB383C" w:rsidP="00AB383C">
      <w:pPr>
        <w:spacing w:after="0" w:line="240" w:lineRule="auto"/>
        <w:rPr>
          <w:rFonts w:ascii="Garamond" w:eastAsia="Garamond" w:hAnsi="Garamond" w:cs="Garamond"/>
          <w:color w:val="000000" w:themeColor="text1"/>
        </w:rPr>
      </w:pPr>
    </w:p>
    <w:p w14:paraId="64737292" w14:textId="47788EED" w:rsidR="00AB383C" w:rsidRPr="00090D0D" w:rsidRDefault="00AB383C" w:rsidP="00AB383C">
      <w:pPr>
        <w:spacing w:after="0" w:line="240" w:lineRule="auto"/>
        <w:rPr>
          <w:rFonts w:ascii="Garamond" w:eastAsia="Garamond" w:hAnsi="Garamond" w:cs="Garamond"/>
          <w:color w:val="000000" w:themeColor="text1"/>
        </w:rPr>
      </w:pPr>
      <w:r w:rsidRPr="00090D0D">
        <w:rPr>
          <w:rFonts w:ascii="Garamond" w:eastAsia="Garamond" w:hAnsi="Garamond" w:cs="Garamond"/>
          <w:color w:val="000000" w:themeColor="text1"/>
        </w:rPr>
        <w:t>Table 1</w:t>
      </w:r>
      <w:r w:rsidRPr="00090D0D">
        <w:rPr>
          <w:rFonts w:ascii="Garamond" w:eastAsia="Garamond" w:hAnsi="Garamond" w:cs="Garamond"/>
          <w:i/>
          <w:iCs/>
          <w:color w:val="000000" w:themeColor="text1"/>
        </w:rPr>
        <w:t xml:space="preserve"> </w:t>
      </w:r>
    </w:p>
    <w:p w14:paraId="1238C6C2" w14:textId="26519AD4" w:rsidR="00A43059" w:rsidRPr="00090D0D" w:rsidRDefault="00AB383C" w:rsidP="3C6A40F0">
      <w:pPr>
        <w:spacing w:after="0" w:line="240" w:lineRule="auto"/>
        <w:rPr>
          <w:rFonts w:ascii="Garamond" w:eastAsia="Garamond" w:hAnsi="Garamond" w:cs="Garamond"/>
          <w:i/>
          <w:iCs/>
        </w:rPr>
      </w:pPr>
      <w:r w:rsidRPr="00090D0D">
        <w:rPr>
          <w:rFonts w:ascii="Garamond" w:eastAsia="Garamond" w:hAnsi="Garamond" w:cs="Garamond"/>
          <w:i/>
          <w:iCs/>
          <w:color w:val="000000" w:themeColor="text1"/>
        </w:rPr>
        <w:t>Earth observations data used in this project, organized by their platform and sensor.</w:t>
      </w:r>
    </w:p>
    <w:tbl>
      <w:tblPr>
        <w:tblW w:w="9360" w:type="dxa"/>
        <w:tblLayout w:type="fixed"/>
        <w:tblLook w:val="04A0" w:firstRow="1" w:lastRow="0" w:firstColumn="1" w:lastColumn="0" w:noHBand="0" w:noVBand="1"/>
      </w:tblPr>
      <w:tblGrid>
        <w:gridCol w:w="1345"/>
        <w:gridCol w:w="1370"/>
        <w:gridCol w:w="1370"/>
        <w:gridCol w:w="3035"/>
        <w:gridCol w:w="2240"/>
      </w:tblGrid>
      <w:tr w:rsidR="67FF4B55" w:rsidRPr="00090D0D" w14:paraId="0E92D94A" w14:textId="77777777" w:rsidTr="09D39C65">
        <w:tc>
          <w:tcPr>
            <w:tcW w:w="1345"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18DC4B26" w14:textId="2AED0B52" w:rsidR="67FF4B55" w:rsidRPr="00090D0D" w:rsidRDefault="61DDB42D" w:rsidP="67FF4B55">
            <w:pPr>
              <w:jc w:val="center"/>
              <w:rPr>
                <w:rFonts w:ascii="Garamond" w:eastAsia="Garamond" w:hAnsi="Garamond" w:cs="Garamond"/>
                <w:color w:val="FFFFFF" w:themeColor="background1"/>
              </w:rPr>
            </w:pPr>
            <w:r w:rsidRPr="00090D0D">
              <w:rPr>
                <w:rFonts w:ascii="Garamond" w:eastAsia="Garamond" w:hAnsi="Garamond" w:cs="Garamond"/>
                <w:b/>
                <w:bCs/>
                <w:color w:val="FFFFFF" w:themeColor="background1"/>
              </w:rPr>
              <w:t>Platform &amp; Sensor</w:t>
            </w:r>
            <w:r w:rsidRPr="00090D0D">
              <w:rPr>
                <w:rFonts w:ascii="Garamond" w:eastAsia="Garamond" w:hAnsi="Garamond" w:cs="Garamond"/>
                <w:color w:val="FFFFFF" w:themeColor="background1"/>
              </w:rPr>
              <w:t xml:space="preserve"> </w:t>
            </w:r>
          </w:p>
        </w:tc>
        <w:tc>
          <w:tcPr>
            <w:tcW w:w="1370"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04433FDB" w14:textId="058387AE" w:rsidR="67FF4B55" w:rsidRPr="00090D0D" w:rsidRDefault="61DDB42D" w:rsidP="67FF4B55">
            <w:pPr>
              <w:jc w:val="center"/>
              <w:rPr>
                <w:rFonts w:ascii="Garamond" w:eastAsia="Garamond" w:hAnsi="Garamond" w:cs="Garamond"/>
                <w:color w:val="FFFFFF" w:themeColor="background1"/>
              </w:rPr>
            </w:pPr>
            <w:r w:rsidRPr="00090D0D">
              <w:rPr>
                <w:rFonts w:ascii="Garamond" w:eastAsia="Garamond" w:hAnsi="Garamond" w:cs="Garamond"/>
                <w:b/>
                <w:bCs/>
                <w:color w:val="FFFFFF" w:themeColor="background1"/>
              </w:rPr>
              <w:t>Parameters</w:t>
            </w:r>
          </w:p>
        </w:tc>
        <w:tc>
          <w:tcPr>
            <w:tcW w:w="1370"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20B4BC09" w14:textId="35043861" w:rsidR="094F0F4F" w:rsidRPr="00090D0D" w:rsidRDefault="792C7161" w:rsidP="094F0F4F">
            <w:pPr>
              <w:jc w:val="center"/>
              <w:rPr>
                <w:rFonts w:ascii="Garamond" w:eastAsia="Garamond" w:hAnsi="Garamond" w:cs="Garamond"/>
                <w:b/>
                <w:bCs/>
                <w:color w:val="FFFFFF" w:themeColor="background1"/>
              </w:rPr>
            </w:pPr>
            <w:r w:rsidRPr="00090D0D">
              <w:rPr>
                <w:rFonts w:ascii="Garamond" w:eastAsia="Garamond" w:hAnsi="Garamond" w:cs="Garamond"/>
                <w:b/>
                <w:bCs/>
                <w:color w:val="FFFFFF" w:themeColor="background1"/>
              </w:rPr>
              <w:t>Dataset</w:t>
            </w:r>
          </w:p>
        </w:tc>
        <w:tc>
          <w:tcPr>
            <w:tcW w:w="3035"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49E21811" w14:textId="2DD7054B" w:rsidR="67FF4B55" w:rsidRPr="00090D0D" w:rsidRDefault="61DDB42D" w:rsidP="67FF4B55">
            <w:pPr>
              <w:jc w:val="center"/>
              <w:rPr>
                <w:rFonts w:ascii="Garamond" w:eastAsia="Garamond" w:hAnsi="Garamond" w:cs="Garamond"/>
                <w:color w:val="FFFFFF" w:themeColor="background1"/>
              </w:rPr>
            </w:pPr>
            <w:r w:rsidRPr="00090D0D">
              <w:rPr>
                <w:rFonts w:ascii="Garamond" w:eastAsia="Garamond" w:hAnsi="Garamond" w:cs="Garamond"/>
                <w:b/>
                <w:bCs/>
                <w:color w:val="FFFFFF" w:themeColor="background1"/>
              </w:rPr>
              <w:t>Use</w:t>
            </w:r>
            <w:r w:rsidRPr="00090D0D">
              <w:rPr>
                <w:rFonts w:ascii="Garamond" w:eastAsia="Garamond" w:hAnsi="Garamond" w:cs="Garamond"/>
                <w:color w:val="FFFFFF" w:themeColor="background1"/>
              </w:rPr>
              <w:t xml:space="preserve"> </w:t>
            </w:r>
          </w:p>
        </w:tc>
        <w:tc>
          <w:tcPr>
            <w:tcW w:w="2240"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0987DA6D" w14:textId="5468E558" w:rsidR="67FF4B55" w:rsidRPr="00090D0D" w:rsidRDefault="61DDB42D" w:rsidP="67FF4B55">
            <w:pPr>
              <w:jc w:val="center"/>
              <w:rPr>
                <w:rFonts w:ascii="Garamond" w:eastAsia="Garamond" w:hAnsi="Garamond" w:cs="Garamond"/>
                <w:b/>
                <w:bCs/>
                <w:color w:val="FFFFFF" w:themeColor="background1"/>
              </w:rPr>
            </w:pPr>
            <w:r w:rsidRPr="00090D0D">
              <w:rPr>
                <w:rFonts w:ascii="Garamond" w:eastAsia="Garamond" w:hAnsi="Garamond" w:cs="Garamond"/>
                <w:b/>
                <w:bCs/>
                <w:color w:val="FFFFFF" w:themeColor="background1"/>
              </w:rPr>
              <w:t>Date Range</w:t>
            </w:r>
          </w:p>
        </w:tc>
      </w:tr>
      <w:tr w:rsidR="67FF4B55" w:rsidRPr="00090D0D" w14:paraId="2D0A3EEB" w14:textId="77777777" w:rsidTr="09D39C65">
        <w:trPr>
          <w:trHeight w:val="525"/>
        </w:trPr>
        <w:tc>
          <w:tcPr>
            <w:tcW w:w="1345" w:type="dxa"/>
            <w:tcBorders>
              <w:top w:val="single" w:sz="6" w:space="0" w:color="auto"/>
              <w:left w:val="single" w:sz="6" w:space="0" w:color="auto"/>
              <w:bottom w:val="single" w:sz="6" w:space="0" w:color="auto"/>
              <w:right w:val="single" w:sz="6" w:space="0" w:color="auto"/>
            </w:tcBorders>
          </w:tcPr>
          <w:p w14:paraId="2850267C" w14:textId="432392D8" w:rsidR="67FF4B55" w:rsidRPr="00090D0D" w:rsidRDefault="61DDB42D" w:rsidP="67FF4B55">
            <w:pPr>
              <w:rPr>
                <w:rFonts w:ascii="Garamond" w:eastAsia="Garamond" w:hAnsi="Garamond" w:cs="Garamond"/>
                <w:color w:val="000000" w:themeColor="text1"/>
              </w:rPr>
            </w:pPr>
            <w:r w:rsidRPr="00090D0D">
              <w:rPr>
                <w:rFonts w:ascii="Garamond" w:eastAsia="Garamond" w:hAnsi="Garamond" w:cs="Garamond"/>
                <w:b/>
                <w:bCs/>
                <w:color w:val="000000" w:themeColor="text1"/>
              </w:rPr>
              <w:t>GOES-16 GLM</w:t>
            </w:r>
            <w:r w:rsidRPr="00090D0D">
              <w:rPr>
                <w:rFonts w:ascii="Garamond" w:eastAsia="Garamond" w:hAnsi="Garamond" w:cs="Garamond"/>
                <w:color w:val="000000" w:themeColor="text1"/>
              </w:rPr>
              <w:t xml:space="preserve"> </w:t>
            </w:r>
          </w:p>
        </w:tc>
        <w:tc>
          <w:tcPr>
            <w:tcW w:w="1370" w:type="dxa"/>
            <w:tcBorders>
              <w:top w:val="single" w:sz="6" w:space="0" w:color="auto"/>
              <w:left w:val="single" w:sz="6" w:space="0" w:color="auto"/>
              <w:bottom w:val="single" w:sz="6" w:space="0" w:color="auto"/>
              <w:right w:val="single" w:sz="6" w:space="0" w:color="auto"/>
            </w:tcBorders>
          </w:tcPr>
          <w:p w14:paraId="591BDEE4" w14:textId="1C0D32BE" w:rsidR="67FF4B55" w:rsidRPr="00090D0D" w:rsidRDefault="61DDB42D" w:rsidP="3EB078DC">
            <w:pPr>
              <w:rPr>
                <w:rFonts w:ascii="Garamond" w:eastAsia="Garamond" w:hAnsi="Garamond" w:cs="Garamond"/>
                <w:color w:val="000000" w:themeColor="text1"/>
              </w:rPr>
            </w:pPr>
            <w:r w:rsidRPr="00090D0D">
              <w:rPr>
                <w:rFonts w:ascii="Garamond" w:eastAsia="Garamond" w:hAnsi="Garamond" w:cs="Garamond"/>
                <w:color w:val="000000" w:themeColor="text1"/>
              </w:rPr>
              <w:t>Total Lightning</w:t>
            </w:r>
          </w:p>
        </w:tc>
        <w:tc>
          <w:tcPr>
            <w:tcW w:w="1370" w:type="dxa"/>
            <w:tcBorders>
              <w:top w:val="single" w:sz="6" w:space="0" w:color="auto"/>
              <w:left w:val="single" w:sz="6" w:space="0" w:color="auto"/>
              <w:bottom w:val="single" w:sz="6" w:space="0" w:color="auto"/>
              <w:right w:val="single" w:sz="6" w:space="0" w:color="auto"/>
            </w:tcBorders>
          </w:tcPr>
          <w:p w14:paraId="27076704" w14:textId="542E6CB9" w:rsidR="094F0F4F" w:rsidRPr="00090D0D" w:rsidRDefault="792C7161" w:rsidP="094F0F4F">
            <w:pPr>
              <w:rPr>
                <w:rFonts w:ascii="Garamond" w:eastAsia="Garamond" w:hAnsi="Garamond" w:cs="Garamond"/>
                <w:color w:val="000000" w:themeColor="text1"/>
              </w:rPr>
            </w:pPr>
            <w:r w:rsidRPr="00090D0D">
              <w:rPr>
                <w:rFonts w:ascii="Garamond" w:eastAsia="Garamond" w:hAnsi="Garamond" w:cs="Garamond"/>
                <w:color w:val="000000" w:themeColor="text1"/>
              </w:rPr>
              <w:t>GLM-L2-LCFA</w:t>
            </w:r>
          </w:p>
        </w:tc>
        <w:tc>
          <w:tcPr>
            <w:tcW w:w="3035" w:type="dxa"/>
            <w:tcBorders>
              <w:top w:val="single" w:sz="6" w:space="0" w:color="auto"/>
              <w:left w:val="single" w:sz="6" w:space="0" w:color="auto"/>
              <w:bottom w:val="single" w:sz="6" w:space="0" w:color="auto"/>
              <w:right w:val="single" w:sz="6" w:space="0" w:color="auto"/>
            </w:tcBorders>
          </w:tcPr>
          <w:p w14:paraId="5587BC25" w14:textId="6D88FA80" w:rsidR="67FF4B55" w:rsidRPr="00090D0D" w:rsidRDefault="08596E49" w:rsidP="2D4FEAE2">
            <w:pPr>
              <w:rPr>
                <w:rFonts w:ascii="Garamond" w:eastAsia="Garamond" w:hAnsi="Garamond" w:cs="Garamond"/>
                <w:color w:val="000000" w:themeColor="text1"/>
              </w:rPr>
            </w:pPr>
            <w:r w:rsidRPr="00090D0D">
              <w:rPr>
                <w:rFonts w:ascii="Garamond" w:eastAsia="Garamond" w:hAnsi="Garamond" w:cs="Garamond"/>
                <w:color w:val="000000" w:themeColor="text1"/>
              </w:rPr>
              <w:t>Total Lightning was used to identify lightning events across central Chile</w:t>
            </w:r>
          </w:p>
        </w:tc>
        <w:tc>
          <w:tcPr>
            <w:tcW w:w="2240" w:type="dxa"/>
            <w:tcBorders>
              <w:top w:val="single" w:sz="6" w:space="0" w:color="auto"/>
              <w:left w:val="single" w:sz="6" w:space="0" w:color="auto"/>
              <w:bottom w:val="single" w:sz="6" w:space="0" w:color="auto"/>
              <w:right w:val="single" w:sz="6" w:space="0" w:color="auto"/>
            </w:tcBorders>
          </w:tcPr>
          <w:p w14:paraId="591868CF" w14:textId="093EF821" w:rsidR="67FF4B55" w:rsidRPr="00090D0D" w:rsidRDefault="61DDB42D" w:rsidP="67FF4B55">
            <w:pPr>
              <w:rPr>
                <w:rFonts w:ascii="Garamond" w:eastAsia="Garamond" w:hAnsi="Garamond" w:cs="Garamond"/>
                <w:color w:val="000000" w:themeColor="text1"/>
              </w:rPr>
            </w:pPr>
            <w:r w:rsidRPr="00090D0D">
              <w:rPr>
                <w:rFonts w:ascii="Garamond" w:eastAsia="Garamond" w:hAnsi="Garamond" w:cs="Garamond"/>
                <w:color w:val="000000" w:themeColor="text1"/>
              </w:rPr>
              <w:t>March 1, 2018</w:t>
            </w:r>
            <w:r w:rsidR="00AB383C">
              <w:rPr>
                <w:rFonts w:ascii="Garamond" w:eastAsia="Garamond" w:hAnsi="Garamond" w:cs="Garamond"/>
                <w:color w:val="000000" w:themeColor="text1"/>
              </w:rPr>
              <w:t>,</w:t>
            </w:r>
            <w:r w:rsidRPr="00090D0D">
              <w:rPr>
                <w:rFonts w:ascii="Garamond" w:eastAsia="Garamond" w:hAnsi="Garamond" w:cs="Garamond"/>
                <w:color w:val="000000" w:themeColor="text1"/>
              </w:rPr>
              <w:t xml:space="preserve"> through February 28, 2022</w:t>
            </w:r>
          </w:p>
        </w:tc>
      </w:tr>
      <w:tr w:rsidR="67FF4B55" w:rsidRPr="00090D0D" w14:paraId="60BCDBE1" w14:textId="77777777" w:rsidTr="00AB383C">
        <w:trPr>
          <w:trHeight w:val="795"/>
        </w:trPr>
        <w:tc>
          <w:tcPr>
            <w:tcW w:w="1345" w:type="dxa"/>
            <w:tcBorders>
              <w:top w:val="single" w:sz="6" w:space="0" w:color="auto"/>
              <w:left w:val="single" w:sz="6" w:space="0" w:color="auto"/>
              <w:bottom w:val="single" w:sz="6" w:space="0" w:color="auto"/>
              <w:right w:val="single" w:sz="6" w:space="0" w:color="auto"/>
            </w:tcBorders>
          </w:tcPr>
          <w:p w14:paraId="26C65974" w14:textId="08692366" w:rsidR="67FF4B55" w:rsidRPr="00090D0D" w:rsidRDefault="7899CB30" w:rsidP="470B3B5A">
            <w:pPr>
              <w:rPr>
                <w:rFonts w:ascii="Garamond" w:eastAsia="Garamond" w:hAnsi="Garamond" w:cs="Garamond"/>
                <w:color w:val="000000" w:themeColor="text1"/>
              </w:rPr>
            </w:pPr>
            <w:r w:rsidRPr="00090D0D">
              <w:rPr>
                <w:rFonts w:ascii="Garamond" w:eastAsia="Garamond" w:hAnsi="Garamond" w:cs="Garamond"/>
                <w:b/>
                <w:bCs/>
                <w:color w:val="000000" w:themeColor="text1"/>
              </w:rPr>
              <w:t>Suomi NPP VIIRS</w:t>
            </w:r>
            <w:r w:rsidRPr="00090D0D">
              <w:rPr>
                <w:rFonts w:ascii="Garamond" w:eastAsia="Garamond" w:hAnsi="Garamond" w:cs="Garamond"/>
                <w:color w:val="000000" w:themeColor="text1"/>
              </w:rPr>
              <w:t xml:space="preserve"> </w:t>
            </w:r>
          </w:p>
          <w:p w14:paraId="358BBD06" w14:textId="4ED6A6D0" w:rsidR="67FF4B55" w:rsidRPr="00090D0D" w:rsidRDefault="67FF4B55" w:rsidP="470B3B5A">
            <w:pPr>
              <w:rPr>
                <w:rFonts w:ascii="Garamond" w:eastAsia="Garamond" w:hAnsi="Garamond" w:cs="Garamond"/>
                <w:color w:val="000000" w:themeColor="text1"/>
                <w:sz w:val="21"/>
                <w:szCs w:val="21"/>
              </w:rPr>
            </w:pPr>
          </w:p>
        </w:tc>
        <w:tc>
          <w:tcPr>
            <w:tcW w:w="1370" w:type="dxa"/>
            <w:tcBorders>
              <w:top w:val="single" w:sz="6" w:space="0" w:color="auto"/>
              <w:left w:val="single" w:sz="6" w:space="0" w:color="auto"/>
              <w:bottom w:val="single" w:sz="6" w:space="0" w:color="auto"/>
              <w:right w:val="single" w:sz="6" w:space="0" w:color="auto"/>
            </w:tcBorders>
          </w:tcPr>
          <w:p w14:paraId="6BAB8834" w14:textId="51A4A1AB" w:rsidR="09D39C65" w:rsidRPr="00090D0D" w:rsidRDefault="09D39C65" w:rsidP="09D39C65">
            <w:pPr>
              <w:rPr>
                <w:rFonts w:ascii="Garamond" w:hAnsi="Garamond"/>
              </w:rPr>
            </w:pPr>
            <w:r w:rsidRPr="00090D0D">
              <w:rPr>
                <w:rFonts w:ascii="Garamond" w:eastAsia="Garamond" w:hAnsi="Garamond" w:cs="Garamond"/>
                <w:color w:val="000000" w:themeColor="text1"/>
              </w:rPr>
              <w:t>AFP</w:t>
            </w:r>
          </w:p>
          <w:p w14:paraId="62884967" w14:textId="03A33F0E" w:rsidR="67FF4B55" w:rsidRPr="00090D0D" w:rsidRDefault="67FF4B55" w:rsidP="094F0F4F">
            <w:pPr>
              <w:spacing w:after="0"/>
              <w:rPr>
                <w:rFonts w:ascii="Garamond" w:eastAsia="Garamond" w:hAnsi="Garamond" w:cs="Garamond"/>
                <w:color w:val="000000" w:themeColor="text1"/>
              </w:rPr>
            </w:pPr>
          </w:p>
          <w:p w14:paraId="550CAF35" w14:textId="58DDE316" w:rsidR="67FF4B55" w:rsidRPr="00090D0D" w:rsidRDefault="67FF4B55" w:rsidP="094F0F4F">
            <w:pPr>
              <w:spacing w:after="0"/>
              <w:rPr>
                <w:rFonts w:ascii="Garamond" w:eastAsia="Garamond" w:hAnsi="Garamond" w:cs="Garamond"/>
                <w:color w:val="000000" w:themeColor="text1"/>
              </w:rPr>
            </w:pPr>
          </w:p>
          <w:p w14:paraId="438DD265" w14:textId="49B3D8CC" w:rsidR="67FF4B55" w:rsidRPr="00090D0D" w:rsidRDefault="6EB95C9D" w:rsidP="094F0F4F">
            <w:pPr>
              <w:spacing w:after="0"/>
              <w:rPr>
                <w:rFonts w:ascii="Garamond" w:eastAsia="Garamond" w:hAnsi="Garamond" w:cs="Garamond"/>
                <w:color w:val="000000" w:themeColor="text1"/>
              </w:rPr>
            </w:pPr>
            <w:r w:rsidRPr="00090D0D">
              <w:rPr>
                <w:rFonts w:ascii="Garamond" w:eastAsia="Garamond" w:hAnsi="Garamond" w:cs="Garamond"/>
                <w:color w:val="000000" w:themeColor="text1"/>
              </w:rPr>
              <w:t xml:space="preserve">LST </w:t>
            </w:r>
          </w:p>
        </w:tc>
        <w:tc>
          <w:tcPr>
            <w:tcW w:w="1370" w:type="dxa"/>
            <w:tcBorders>
              <w:top w:val="single" w:sz="6" w:space="0" w:color="auto"/>
              <w:left w:val="single" w:sz="6" w:space="0" w:color="auto"/>
              <w:bottom w:val="single" w:sz="6" w:space="0" w:color="auto"/>
              <w:right w:val="single" w:sz="6" w:space="0" w:color="auto"/>
            </w:tcBorders>
          </w:tcPr>
          <w:p w14:paraId="0147C3B3" w14:textId="2326FB06" w:rsidR="3C6A40F0" w:rsidRPr="00090D0D" w:rsidRDefault="3C6A40F0" w:rsidP="3C6A40F0">
            <w:pPr>
              <w:rPr>
                <w:rFonts w:ascii="Garamond" w:eastAsia="Garamond" w:hAnsi="Garamond" w:cs="Garamond"/>
                <w:color w:val="000000" w:themeColor="text1"/>
              </w:rPr>
            </w:pPr>
            <w:r w:rsidRPr="00090D0D">
              <w:rPr>
                <w:rFonts w:ascii="Garamond" w:eastAsia="Garamond" w:hAnsi="Garamond" w:cs="Garamond"/>
                <w:color w:val="000000" w:themeColor="text1"/>
              </w:rPr>
              <w:t>VNP14A1</w:t>
            </w:r>
          </w:p>
          <w:p w14:paraId="7F186B87" w14:textId="381ACD03" w:rsidR="094F0F4F" w:rsidRPr="00090D0D" w:rsidRDefault="094F0F4F" w:rsidP="094F0F4F">
            <w:pPr>
              <w:rPr>
                <w:rFonts w:ascii="Garamond" w:eastAsia="Garamond" w:hAnsi="Garamond" w:cs="Garamond"/>
                <w:color w:val="000000" w:themeColor="text1"/>
              </w:rPr>
            </w:pPr>
          </w:p>
          <w:p w14:paraId="19AB7972" w14:textId="09F02D80" w:rsidR="094F0F4F" w:rsidRPr="00090D0D" w:rsidRDefault="094F0F4F" w:rsidP="094F0F4F">
            <w:pPr>
              <w:rPr>
                <w:rFonts w:ascii="Garamond" w:eastAsia="Garamond" w:hAnsi="Garamond" w:cs="Garamond"/>
                <w:color w:val="000000" w:themeColor="text1"/>
              </w:rPr>
            </w:pPr>
          </w:p>
          <w:p w14:paraId="3225A653" w14:textId="6C75F229" w:rsidR="094F0F4F" w:rsidRPr="00090D0D" w:rsidRDefault="792C7161" w:rsidP="094F0F4F">
            <w:pPr>
              <w:rPr>
                <w:rFonts w:ascii="Garamond" w:eastAsia="Garamond" w:hAnsi="Garamond" w:cs="Garamond"/>
                <w:color w:val="000000" w:themeColor="text1"/>
              </w:rPr>
            </w:pPr>
            <w:r w:rsidRPr="00090D0D">
              <w:rPr>
                <w:rFonts w:ascii="Garamond" w:eastAsia="Garamond" w:hAnsi="Garamond" w:cs="Garamond"/>
                <w:color w:val="000000" w:themeColor="text1"/>
              </w:rPr>
              <w:lastRenderedPageBreak/>
              <w:t>VNP 21A1Dv001</w:t>
            </w:r>
          </w:p>
        </w:tc>
        <w:tc>
          <w:tcPr>
            <w:tcW w:w="3035" w:type="dxa"/>
            <w:tcBorders>
              <w:top w:val="single" w:sz="6" w:space="0" w:color="auto"/>
              <w:left w:val="single" w:sz="6" w:space="0" w:color="auto"/>
              <w:bottom w:val="single" w:sz="6" w:space="0" w:color="auto"/>
              <w:right w:val="single" w:sz="6" w:space="0" w:color="auto"/>
            </w:tcBorders>
          </w:tcPr>
          <w:p w14:paraId="57EE6B31" w14:textId="1CBFBECA" w:rsidR="67FF4B55" w:rsidRPr="00090D0D" w:rsidRDefault="7EAB87AC" w:rsidP="32C4FA11">
            <w:pPr>
              <w:rPr>
                <w:rFonts w:ascii="Garamond" w:eastAsia="Garamond" w:hAnsi="Garamond" w:cs="Garamond"/>
              </w:rPr>
            </w:pPr>
            <w:r w:rsidRPr="00090D0D">
              <w:rPr>
                <w:rFonts w:ascii="Garamond" w:eastAsia="Garamond" w:hAnsi="Garamond" w:cs="Garamond"/>
              </w:rPr>
              <w:lastRenderedPageBreak/>
              <w:t>AFP was used to create layers of fires for use in the lightning map and fire risk map.</w:t>
            </w:r>
          </w:p>
          <w:p w14:paraId="560D0F73" w14:textId="1AB575DC" w:rsidR="67FF4B55" w:rsidRPr="00090D0D" w:rsidRDefault="65C0D961" w:rsidP="32C4FA11">
            <w:pPr>
              <w:rPr>
                <w:rFonts w:ascii="Garamond" w:eastAsia="Garamond" w:hAnsi="Garamond" w:cs="Garamond"/>
              </w:rPr>
            </w:pPr>
            <w:r w:rsidRPr="00090D0D">
              <w:rPr>
                <w:rFonts w:ascii="Garamond" w:eastAsia="Garamond" w:hAnsi="Garamond" w:cs="Garamond"/>
              </w:rPr>
              <w:t xml:space="preserve">LST was used as a risk factor for wildfire ignition, to identify warming trends among years, </w:t>
            </w:r>
            <w:r w:rsidRPr="00090D0D">
              <w:rPr>
                <w:rFonts w:ascii="Garamond" w:eastAsia="Garamond" w:hAnsi="Garamond" w:cs="Garamond"/>
              </w:rPr>
              <w:lastRenderedPageBreak/>
              <w:t>and to determine the most active fire season.</w:t>
            </w:r>
          </w:p>
        </w:tc>
        <w:tc>
          <w:tcPr>
            <w:tcW w:w="2240" w:type="dxa"/>
            <w:tcBorders>
              <w:top w:val="single" w:sz="6" w:space="0" w:color="auto"/>
              <w:left w:val="single" w:sz="6" w:space="0" w:color="auto"/>
              <w:bottom w:val="single" w:sz="6" w:space="0" w:color="auto"/>
              <w:right w:val="single" w:sz="6" w:space="0" w:color="auto"/>
            </w:tcBorders>
          </w:tcPr>
          <w:p w14:paraId="786A571C" w14:textId="4FC1CE3F" w:rsidR="67FF4B55" w:rsidRPr="00090D0D" w:rsidRDefault="61DDB42D" w:rsidP="094F0F4F">
            <w:pPr>
              <w:rPr>
                <w:rFonts w:ascii="Garamond" w:eastAsia="Garamond" w:hAnsi="Garamond" w:cs="Garamond"/>
                <w:color w:val="000000" w:themeColor="text1"/>
              </w:rPr>
            </w:pPr>
            <w:r w:rsidRPr="00090D0D">
              <w:rPr>
                <w:rFonts w:ascii="Garamond" w:eastAsia="Garamond" w:hAnsi="Garamond" w:cs="Garamond"/>
                <w:color w:val="000000" w:themeColor="text1"/>
              </w:rPr>
              <w:lastRenderedPageBreak/>
              <w:t>March 1, 2018</w:t>
            </w:r>
            <w:r w:rsidR="00AB383C">
              <w:rPr>
                <w:rFonts w:ascii="Garamond" w:eastAsia="Garamond" w:hAnsi="Garamond" w:cs="Garamond"/>
                <w:color w:val="000000" w:themeColor="text1"/>
              </w:rPr>
              <w:t>,</w:t>
            </w:r>
            <w:r w:rsidRPr="00090D0D">
              <w:rPr>
                <w:rFonts w:ascii="Garamond" w:eastAsia="Garamond" w:hAnsi="Garamond" w:cs="Garamond"/>
                <w:color w:val="000000" w:themeColor="text1"/>
              </w:rPr>
              <w:t xml:space="preserve"> through February 28, 2022</w:t>
            </w:r>
          </w:p>
          <w:p w14:paraId="50F4E22A" w14:textId="6AF35429" w:rsidR="67FF4B55" w:rsidRPr="00090D0D" w:rsidRDefault="67FF4B55" w:rsidP="094F0F4F">
            <w:pPr>
              <w:spacing w:after="0"/>
              <w:rPr>
                <w:rFonts w:ascii="Garamond" w:eastAsia="Garamond" w:hAnsi="Garamond" w:cs="Garamond"/>
                <w:color w:val="000000" w:themeColor="text1"/>
              </w:rPr>
            </w:pPr>
          </w:p>
          <w:p w14:paraId="1E4D47A8" w14:textId="57851DA9" w:rsidR="67FF4B55" w:rsidRPr="00090D0D" w:rsidRDefault="67FF4B55" w:rsidP="094F0F4F">
            <w:pPr>
              <w:spacing w:after="0"/>
              <w:rPr>
                <w:rFonts w:ascii="Garamond" w:eastAsia="Garamond" w:hAnsi="Garamond" w:cs="Garamond"/>
                <w:color w:val="000000" w:themeColor="text1"/>
              </w:rPr>
            </w:pPr>
          </w:p>
          <w:p w14:paraId="3932C096" w14:textId="591232EF" w:rsidR="67FF4B55" w:rsidRPr="00090D0D" w:rsidRDefault="61DDB42D" w:rsidP="094F0F4F">
            <w:pPr>
              <w:spacing w:after="0"/>
              <w:rPr>
                <w:rFonts w:ascii="Garamond" w:eastAsia="Garamond" w:hAnsi="Garamond" w:cs="Garamond"/>
                <w:color w:val="000000" w:themeColor="text1"/>
              </w:rPr>
            </w:pPr>
            <w:r w:rsidRPr="00090D0D">
              <w:rPr>
                <w:rFonts w:ascii="Garamond" w:eastAsia="Garamond" w:hAnsi="Garamond" w:cs="Garamond"/>
                <w:color w:val="000000" w:themeColor="text1"/>
              </w:rPr>
              <w:t>March 1, 2018</w:t>
            </w:r>
            <w:r w:rsidR="00AB383C">
              <w:rPr>
                <w:rFonts w:ascii="Garamond" w:eastAsia="Garamond" w:hAnsi="Garamond" w:cs="Garamond"/>
                <w:color w:val="000000" w:themeColor="text1"/>
              </w:rPr>
              <w:t>,</w:t>
            </w:r>
            <w:r w:rsidRPr="00090D0D">
              <w:rPr>
                <w:rFonts w:ascii="Garamond" w:eastAsia="Garamond" w:hAnsi="Garamond" w:cs="Garamond"/>
                <w:color w:val="000000" w:themeColor="text1"/>
              </w:rPr>
              <w:t xml:space="preserve"> through February 28, 2022</w:t>
            </w:r>
          </w:p>
          <w:p w14:paraId="2FE90AB6" w14:textId="050C960D" w:rsidR="67FF4B55" w:rsidRPr="00090D0D" w:rsidRDefault="67FF4B55" w:rsidP="094F0F4F">
            <w:pPr>
              <w:rPr>
                <w:rFonts w:ascii="Garamond" w:eastAsia="Garamond" w:hAnsi="Garamond" w:cs="Garamond"/>
                <w:color w:val="000000" w:themeColor="text1"/>
              </w:rPr>
            </w:pPr>
          </w:p>
        </w:tc>
      </w:tr>
      <w:tr w:rsidR="67FF4B55" w:rsidRPr="00090D0D" w14:paraId="1719ADB5" w14:textId="77777777" w:rsidTr="00AB383C">
        <w:trPr>
          <w:trHeight w:val="1245"/>
        </w:trPr>
        <w:tc>
          <w:tcPr>
            <w:tcW w:w="1345" w:type="dxa"/>
            <w:tcBorders>
              <w:top w:val="single" w:sz="6" w:space="0" w:color="auto"/>
              <w:left w:val="single" w:sz="6" w:space="0" w:color="auto"/>
              <w:bottom w:val="single" w:sz="6" w:space="0" w:color="auto"/>
              <w:right w:val="single" w:sz="6" w:space="0" w:color="auto"/>
            </w:tcBorders>
          </w:tcPr>
          <w:p w14:paraId="01AB670B" w14:textId="6C422379" w:rsidR="67FF4B55" w:rsidRPr="00090D0D" w:rsidRDefault="61DDB42D" w:rsidP="67FF4B55">
            <w:pPr>
              <w:rPr>
                <w:rFonts w:ascii="Garamond" w:eastAsia="Garamond" w:hAnsi="Garamond" w:cs="Garamond"/>
                <w:color w:val="000000" w:themeColor="text1"/>
              </w:rPr>
            </w:pPr>
            <w:r w:rsidRPr="00090D0D">
              <w:rPr>
                <w:rFonts w:ascii="Garamond" w:eastAsia="Garamond" w:hAnsi="Garamond" w:cs="Garamond"/>
                <w:b/>
                <w:bCs/>
                <w:color w:val="000000" w:themeColor="text1"/>
              </w:rPr>
              <w:lastRenderedPageBreak/>
              <w:t>Landsat 8 OLI</w:t>
            </w:r>
          </w:p>
        </w:tc>
        <w:tc>
          <w:tcPr>
            <w:tcW w:w="1370" w:type="dxa"/>
            <w:tcBorders>
              <w:top w:val="single" w:sz="6" w:space="0" w:color="auto"/>
              <w:left w:val="single" w:sz="6" w:space="0" w:color="auto"/>
              <w:bottom w:val="single" w:sz="6" w:space="0" w:color="auto"/>
              <w:right w:val="single" w:sz="6" w:space="0" w:color="auto"/>
            </w:tcBorders>
          </w:tcPr>
          <w:p w14:paraId="275B15B2" w14:textId="539341E1" w:rsidR="67FF4B55" w:rsidRPr="00090D0D" w:rsidRDefault="61DDB42D" w:rsidP="4F8C65F8">
            <w:pPr>
              <w:rPr>
                <w:rFonts w:ascii="Garamond" w:eastAsia="Garamond" w:hAnsi="Garamond" w:cs="Garamond"/>
                <w:color w:val="000000" w:themeColor="text1"/>
              </w:rPr>
            </w:pPr>
            <w:r w:rsidRPr="00090D0D">
              <w:rPr>
                <w:rFonts w:ascii="Garamond" w:eastAsia="Garamond" w:hAnsi="Garamond" w:cs="Garamond"/>
                <w:color w:val="000000" w:themeColor="text1"/>
              </w:rPr>
              <w:t xml:space="preserve"> NDMI</w:t>
            </w:r>
          </w:p>
        </w:tc>
        <w:tc>
          <w:tcPr>
            <w:tcW w:w="1370" w:type="dxa"/>
            <w:tcBorders>
              <w:top w:val="single" w:sz="6" w:space="0" w:color="auto"/>
              <w:left w:val="single" w:sz="6" w:space="0" w:color="auto"/>
              <w:bottom w:val="single" w:sz="6" w:space="0" w:color="auto"/>
              <w:right w:val="single" w:sz="6" w:space="0" w:color="auto"/>
            </w:tcBorders>
          </w:tcPr>
          <w:p w14:paraId="7684DBB7" w14:textId="46C17661" w:rsidR="094F0F4F" w:rsidRPr="00090D0D" w:rsidRDefault="3C6A40F0" w:rsidP="094F0F4F">
            <w:pPr>
              <w:rPr>
                <w:rFonts w:ascii="Garamond" w:eastAsia="Garamond" w:hAnsi="Garamond" w:cs="Garamond"/>
                <w:color w:val="000000" w:themeColor="text1"/>
              </w:rPr>
            </w:pPr>
            <w:r w:rsidRPr="00090D0D">
              <w:rPr>
                <w:rFonts w:ascii="Garamond" w:eastAsia="Garamond" w:hAnsi="Garamond" w:cs="Garamond"/>
                <w:color w:val="000000" w:themeColor="text1"/>
              </w:rPr>
              <w:t>Collection 2 Level 1 Surface Reflectance</w:t>
            </w:r>
          </w:p>
        </w:tc>
        <w:tc>
          <w:tcPr>
            <w:tcW w:w="3035" w:type="dxa"/>
            <w:tcBorders>
              <w:top w:val="single" w:sz="6" w:space="0" w:color="auto"/>
              <w:left w:val="single" w:sz="6" w:space="0" w:color="auto"/>
              <w:bottom w:val="single" w:sz="6" w:space="0" w:color="auto"/>
              <w:right w:val="single" w:sz="6" w:space="0" w:color="auto"/>
            </w:tcBorders>
          </w:tcPr>
          <w:p w14:paraId="65CE4265" w14:textId="6407B2F4" w:rsidR="67FF4B55" w:rsidRPr="00090D0D" w:rsidRDefault="462A64FC" w:rsidP="2D4FEAE2">
            <w:pPr>
              <w:rPr>
                <w:rFonts w:ascii="Garamond" w:eastAsia="Garamond" w:hAnsi="Garamond" w:cs="Garamond"/>
              </w:rPr>
            </w:pPr>
            <w:r w:rsidRPr="00090D0D">
              <w:rPr>
                <w:rFonts w:ascii="Garamond" w:eastAsia="Garamond" w:hAnsi="Garamond" w:cs="Garamond"/>
              </w:rPr>
              <w:t>NDMI was used to calculate vegetation moisture, identify dry areas for the moisture map, and serve as a factor for wildfire risk.</w:t>
            </w:r>
          </w:p>
          <w:p w14:paraId="20F3923C" w14:textId="0B5698C7" w:rsidR="67FF4B55" w:rsidRPr="00090D0D" w:rsidRDefault="67FF4B55" w:rsidP="32C4FA11">
            <w:pPr>
              <w:rPr>
                <w:rFonts w:ascii="Garamond" w:eastAsia="Garamond" w:hAnsi="Garamond" w:cs="Garamond"/>
                <w:color w:val="000000" w:themeColor="text1"/>
              </w:rPr>
            </w:pPr>
          </w:p>
        </w:tc>
        <w:tc>
          <w:tcPr>
            <w:tcW w:w="2240" w:type="dxa"/>
            <w:tcBorders>
              <w:top w:val="single" w:sz="6" w:space="0" w:color="auto"/>
              <w:left w:val="single" w:sz="6" w:space="0" w:color="auto"/>
              <w:bottom w:val="single" w:sz="6" w:space="0" w:color="auto"/>
              <w:right w:val="single" w:sz="6" w:space="0" w:color="auto"/>
            </w:tcBorders>
          </w:tcPr>
          <w:p w14:paraId="57B0FF21" w14:textId="44C33619" w:rsidR="67FF4B55" w:rsidRPr="00090D0D" w:rsidRDefault="61DDB42D" w:rsidP="67FF4B55">
            <w:pPr>
              <w:rPr>
                <w:rFonts w:ascii="Garamond" w:eastAsia="Garamond" w:hAnsi="Garamond" w:cs="Garamond"/>
                <w:color w:val="000000" w:themeColor="text1"/>
              </w:rPr>
            </w:pPr>
            <w:r w:rsidRPr="00090D0D">
              <w:rPr>
                <w:rFonts w:ascii="Garamond" w:eastAsia="Garamond" w:hAnsi="Garamond" w:cs="Garamond"/>
                <w:color w:val="000000" w:themeColor="text1"/>
              </w:rPr>
              <w:t xml:space="preserve">March 1, </w:t>
            </w:r>
            <w:proofErr w:type="gramStart"/>
            <w:r w:rsidRPr="00090D0D">
              <w:rPr>
                <w:rFonts w:ascii="Garamond" w:eastAsia="Garamond" w:hAnsi="Garamond" w:cs="Garamond"/>
                <w:color w:val="000000" w:themeColor="text1"/>
              </w:rPr>
              <w:t>2018</w:t>
            </w:r>
            <w:proofErr w:type="gramEnd"/>
            <w:r w:rsidRPr="00090D0D">
              <w:rPr>
                <w:rFonts w:ascii="Garamond" w:eastAsia="Garamond" w:hAnsi="Garamond" w:cs="Garamond"/>
                <w:color w:val="000000" w:themeColor="text1"/>
              </w:rPr>
              <w:t xml:space="preserve"> through February 28, 2022</w:t>
            </w:r>
          </w:p>
        </w:tc>
      </w:tr>
    </w:tbl>
    <w:p w14:paraId="7E6F3030" w14:textId="336D602B" w:rsidR="00A43059" w:rsidRPr="00090D0D" w:rsidRDefault="00A43059" w:rsidP="3C6A40F0">
      <w:pPr>
        <w:spacing w:after="0" w:line="240" w:lineRule="auto"/>
        <w:rPr>
          <w:rFonts w:ascii="Garamond" w:eastAsia="Garamond" w:hAnsi="Garamond" w:cs="Garamond"/>
          <w:i/>
          <w:iCs/>
        </w:rPr>
      </w:pPr>
    </w:p>
    <w:p w14:paraId="7F1C3DC6" w14:textId="7B457C10" w:rsidR="3C6A40F0" w:rsidRPr="00090D0D" w:rsidRDefault="3C6A40F0" w:rsidP="3C6A40F0">
      <w:pPr>
        <w:spacing w:after="0" w:line="240" w:lineRule="auto"/>
        <w:rPr>
          <w:rFonts w:ascii="Garamond" w:eastAsia="Garamond" w:hAnsi="Garamond" w:cs="Garamond"/>
          <w:i/>
          <w:iCs/>
        </w:rPr>
      </w:pPr>
    </w:p>
    <w:p w14:paraId="76007EF6" w14:textId="0D5278D8" w:rsidR="00A43059" w:rsidRPr="00090D0D" w:rsidRDefault="049A8567" w:rsidP="3C6A40F0">
      <w:pPr>
        <w:spacing w:after="0" w:line="240" w:lineRule="auto"/>
        <w:rPr>
          <w:rFonts w:ascii="Garamond" w:eastAsia="Garamond" w:hAnsi="Garamond" w:cs="Garamond"/>
          <w:b/>
          <w:bCs/>
          <w:i/>
          <w:iCs/>
        </w:rPr>
      </w:pPr>
      <w:r w:rsidRPr="00090D0D">
        <w:rPr>
          <w:rFonts w:ascii="Garamond" w:eastAsia="Garamond" w:hAnsi="Garamond" w:cs="Garamond"/>
          <w:b/>
          <w:bCs/>
          <w:i/>
          <w:iCs/>
        </w:rPr>
        <w:t>3.2 Data Processing</w:t>
      </w:r>
    </w:p>
    <w:p w14:paraId="33306E48" w14:textId="60B0DFD5" w:rsidR="67FF4B55" w:rsidRPr="00090D0D" w:rsidRDefault="3C6A40F0" w:rsidP="3C6A40F0">
      <w:pPr>
        <w:spacing w:after="0" w:line="240" w:lineRule="auto"/>
        <w:rPr>
          <w:rFonts w:ascii="Garamond" w:eastAsia="Garamond" w:hAnsi="Garamond" w:cs="Garamond"/>
          <w:i/>
          <w:iCs/>
          <w:highlight w:val="yellow"/>
        </w:rPr>
      </w:pPr>
      <w:r w:rsidRPr="00090D0D">
        <w:rPr>
          <w:rFonts w:ascii="Garamond" w:eastAsia="Garamond" w:hAnsi="Garamond" w:cs="Garamond"/>
        </w:rPr>
        <w:t xml:space="preserve">The team took the GLM </w:t>
      </w:r>
      <w:r w:rsidR="00AB383C">
        <w:rPr>
          <w:rFonts w:ascii="Garamond" w:eastAsia="Garamond" w:hAnsi="Garamond" w:cs="Garamond"/>
        </w:rPr>
        <w:t xml:space="preserve">lightning </w:t>
      </w:r>
      <w:r w:rsidRPr="00090D0D">
        <w:rPr>
          <w:rFonts w:ascii="Garamond" w:eastAsia="Garamond" w:hAnsi="Garamond" w:cs="Garamond"/>
        </w:rPr>
        <w:t xml:space="preserve">data, in netCDF4 form, and converted them into a file structure with lower data requirements, as the raw data </w:t>
      </w:r>
      <w:r w:rsidR="00AB383C">
        <w:rPr>
          <w:rFonts w:ascii="Garamond" w:eastAsia="Garamond" w:hAnsi="Garamond" w:cs="Garamond"/>
        </w:rPr>
        <w:t>were</w:t>
      </w:r>
      <w:r w:rsidR="00AB383C" w:rsidRPr="00090D0D">
        <w:rPr>
          <w:rFonts w:ascii="Garamond" w:eastAsia="Garamond" w:hAnsi="Garamond" w:cs="Garamond"/>
        </w:rPr>
        <w:t xml:space="preserve"> </w:t>
      </w:r>
      <w:r w:rsidRPr="00090D0D">
        <w:rPr>
          <w:rFonts w:ascii="Garamond" w:eastAsia="Garamond" w:hAnsi="Garamond" w:cs="Garamond"/>
        </w:rPr>
        <w:t>collected at a 20 second period for four years. Removing the majority of variables in the data, save location, strike energy, and a unique identifier allowed for easier processing later in the methodology. The team only utilized data on the flash scale, as utilizing event and group from the GLM data structure would have proved unwieldly and the added precision from lower tier data would have been lost when brought to the broader spatial extent of this project. From there, the team divided lightning into fire season, off season, and year-round files, and uploaded them into ArcGIS Pro 2.9, where the team reprojected and clipped them to fit the study area.</w:t>
      </w:r>
    </w:p>
    <w:p w14:paraId="6B8577D6" w14:textId="3A1C2069" w:rsidR="67FF4B55" w:rsidRPr="00090D0D" w:rsidRDefault="67FF4B55" w:rsidP="3C6A40F0">
      <w:pPr>
        <w:spacing w:after="0" w:line="240" w:lineRule="auto"/>
        <w:rPr>
          <w:rFonts w:ascii="Garamond" w:eastAsia="Garamond" w:hAnsi="Garamond" w:cs="Garamond"/>
          <w:i/>
          <w:iCs/>
          <w:highlight w:val="yellow"/>
        </w:rPr>
      </w:pPr>
    </w:p>
    <w:p w14:paraId="7648579F" w14:textId="7C87D5C7" w:rsidR="00A43059" w:rsidRPr="00D37A61" w:rsidRDefault="4C9C147A" w:rsidP="094F0F4F">
      <w:pPr>
        <w:spacing w:after="0" w:line="240" w:lineRule="auto"/>
        <w:rPr>
          <w:rFonts w:ascii="Garamond" w:eastAsia="Garamond" w:hAnsi="Garamond" w:cs="Garamond"/>
          <w:color w:val="242424"/>
        </w:rPr>
      </w:pPr>
      <w:r w:rsidRPr="00090D0D">
        <w:rPr>
          <w:rFonts w:ascii="Garamond" w:eastAsia="Garamond" w:hAnsi="Garamond" w:cs="Garamond"/>
        </w:rPr>
        <w:t>The team imported the two</w:t>
      </w:r>
      <w:r w:rsidR="50521690" w:rsidRPr="00090D0D">
        <w:rPr>
          <w:rFonts w:ascii="Garamond" w:eastAsia="Garamond" w:hAnsi="Garamond" w:cs="Garamond"/>
        </w:rPr>
        <w:t xml:space="preserve"> AFP datasets </w:t>
      </w:r>
      <w:r w:rsidRPr="00090D0D">
        <w:rPr>
          <w:rFonts w:ascii="Garamond" w:eastAsia="Garamond" w:hAnsi="Garamond" w:cs="Garamond"/>
        </w:rPr>
        <w:t xml:space="preserve">into ArcGIS Pro 2.9, merged them into one feature class, and then clipped them to the study area using. Subsets for the fire season and off season were created by selecting the appropriate months using the select by attributes tool and then exporting each selection as a separate feature class. </w:t>
      </w:r>
      <w:r w:rsidR="792C7161" w:rsidRPr="00090D0D">
        <w:rPr>
          <w:rFonts w:ascii="Garamond" w:eastAsia="Garamond" w:hAnsi="Garamond" w:cs="Garamond"/>
        </w:rPr>
        <w:t xml:space="preserve">LST data for the entire study period and each season were imported into separate mosaic datasets in </w:t>
      </w:r>
      <w:r w:rsidR="792C7161" w:rsidRPr="00D37A61">
        <w:rPr>
          <w:rFonts w:ascii="Garamond" w:eastAsia="Garamond" w:hAnsi="Garamond" w:cs="Garamond"/>
        </w:rPr>
        <w:t xml:space="preserve">ArcGIS </w:t>
      </w:r>
      <w:r w:rsidR="08B6FC34" w:rsidRPr="00D37A61">
        <w:rPr>
          <w:rFonts w:ascii="Garamond" w:eastAsia="Garamond" w:hAnsi="Garamond" w:cs="Garamond"/>
          <w:color w:val="242424"/>
        </w:rPr>
        <w:t>Pro 2.9, median reduced, and then clipped to the study area. GEE exported the Landsat 8 data in multiple TIFFS, so the team imported the files into ArcGIS Pro 2.9, mosaiced the images into one TIFF using the mosaic raster tool, and then clipped the TIFF to the study area. Next, the NDMI was calculated using Equation 1 as derived from the U.S. Geological Survey (USGS), below:</w:t>
      </w:r>
    </w:p>
    <w:p w14:paraId="028215C9" w14:textId="53E204BC" w:rsidR="00A43059" w:rsidRPr="00090D0D" w:rsidRDefault="3653FCA5" w:rsidP="3C6A40F0">
      <w:pPr>
        <w:spacing w:after="0" w:line="240" w:lineRule="auto"/>
        <w:ind w:left="3600"/>
        <w:jc w:val="center"/>
        <w:rPr>
          <w:rFonts w:ascii="Garamond" w:eastAsia="Garamond" w:hAnsi="Garamond" w:cs="Garamond"/>
          <w:b/>
          <w:bCs/>
          <w:i/>
          <w:iCs/>
        </w:rPr>
      </w:pPr>
      <w:r w:rsidRPr="00090D0D">
        <w:rPr>
          <w:rFonts w:ascii="Garamond" w:eastAsia="Garamond" w:hAnsi="Garamond" w:cs="Garamond"/>
          <w:color w:val="000000" w:themeColor="text1"/>
        </w:rPr>
        <w:t xml:space="preserve">        </w:t>
      </w:r>
    </w:p>
    <w:p w14:paraId="25572F22" w14:textId="268DD614" w:rsidR="00BD1A87" w:rsidRPr="00090D0D" w:rsidRDefault="0078743F" w:rsidP="3C6A40F0">
      <w:pPr>
        <w:spacing w:after="0" w:line="240" w:lineRule="auto"/>
        <w:ind w:left="3600"/>
        <w:jc w:val="center"/>
        <w:rPr>
          <w:rFonts w:ascii="Garamond" w:eastAsia="Garamond" w:hAnsi="Garamond" w:cs="Garamond"/>
          <w:b/>
          <w:bCs/>
          <w:i/>
          <w:iCs/>
        </w:rPr>
      </w:pPr>
      <m:oMath>
        <m:r>
          <m:rPr>
            <m:nor/>
          </m:rPr>
          <w:rPr>
            <w:rFonts w:ascii="Garamond" w:eastAsia="Arial" w:hAnsi="Garamond" w:cs="Arial"/>
            <w:color w:val="000000"/>
          </w:rPr>
          <m:t xml:space="preserve">NDMI = </m:t>
        </m:r>
        <m:f>
          <m:fPr>
            <m:ctrlPr>
              <w:rPr>
                <w:rFonts w:ascii="Cambria Math" w:eastAsia="Arial" w:hAnsi="Cambria Math" w:cs="Arial"/>
                <w:color w:val="000000"/>
              </w:rPr>
            </m:ctrlPr>
          </m:fPr>
          <m:num>
            <m:r>
              <m:rPr>
                <m:nor/>
              </m:rPr>
              <w:rPr>
                <w:rFonts w:ascii="Garamond" w:eastAsia="Arial" w:hAnsi="Garamond" w:cs="Arial"/>
                <w:color w:val="000000"/>
              </w:rPr>
              <m:t>NIR - SWIR</m:t>
            </m:r>
          </m:num>
          <m:den>
            <m:r>
              <m:rPr>
                <m:nor/>
              </m:rPr>
              <w:rPr>
                <w:rFonts w:ascii="Garamond" w:eastAsia="Arial" w:hAnsi="Garamond" w:cs="Arial"/>
                <w:color w:val="000000"/>
              </w:rPr>
              <m:t>NIR + SWIR</m:t>
            </m:r>
          </m:den>
        </m:f>
      </m:oMath>
      <w:r w:rsidR="00BD1A87" w:rsidRPr="00090D0D">
        <w:rPr>
          <w:rFonts w:ascii="Garamond" w:hAnsi="Garamond" w:cs="Arial"/>
          <w:i/>
          <w:color w:val="000000"/>
        </w:rPr>
        <w:tab/>
      </w:r>
      <w:r w:rsidR="00BD1A87" w:rsidRPr="00090D0D">
        <w:rPr>
          <w:rFonts w:ascii="Garamond" w:hAnsi="Garamond" w:cs="Arial"/>
          <w:color w:val="000000"/>
        </w:rPr>
        <w:tab/>
      </w:r>
      <w:r w:rsidR="00BD1A87" w:rsidRPr="00090D0D">
        <w:rPr>
          <w:rFonts w:ascii="Garamond" w:hAnsi="Garamond" w:cs="Arial"/>
          <w:color w:val="000000"/>
        </w:rPr>
        <w:tab/>
      </w:r>
      <w:r w:rsidR="00BD1A87" w:rsidRPr="00090D0D">
        <w:rPr>
          <w:rFonts w:ascii="Garamond" w:hAnsi="Garamond" w:cs="Arial"/>
          <w:color w:val="000000"/>
        </w:rPr>
        <w:tab/>
      </w:r>
      <w:r w:rsidR="00BD1A87" w:rsidRPr="00090D0D">
        <w:rPr>
          <w:rFonts w:ascii="Garamond" w:hAnsi="Garamond" w:cs="Arial"/>
          <w:color w:val="000000"/>
        </w:rPr>
        <w:tab/>
      </w:r>
      <w:r w:rsidR="3653FCA5" w:rsidRPr="00090D0D">
        <w:rPr>
          <w:rFonts w:ascii="Garamond" w:eastAsia="Garamond" w:hAnsi="Garamond" w:cs="Garamond"/>
          <w:color w:val="000000"/>
        </w:rPr>
        <w:t xml:space="preserve">(1)  </w:t>
      </w:r>
    </w:p>
    <w:p w14:paraId="21EED9AC" w14:textId="4645A46B" w:rsidR="3C6A40F0" w:rsidRPr="00090D0D" w:rsidRDefault="3C6A40F0" w:rsidP="3C6A40F0">
      <w:pPr>
        <w:spacing w:after="0" w:line="240" w:lineRule="auto"/>
        <w:ind w:left="3600"/>
        <w:jc w:val="center"/>
        <w:rPr>
          <w:rFonts w:ascii="Garamond" w:eastAsia="Garamond" w:hAnsi="Garamond" w:cs="Garamond"/>
          <w:color w:val="000000" w:themeColor="text1"/>
        </w:rPr>
      </w:pPr>
    </w:p>
    <w:p w14:paraId="2D29B3B3" w14:textId="0221269D" w:rsidR="094F0F4F" w:rsidRPr="00090D0D" w:rsidRDefault="792C7161" w:rsidP="3C6A40F0">
      <w:pPr>
        <w:spacing w:after="0" w:line="240" w:lineRule="auto"/>
        <w:rPr>
          <w:rFonts w:ascii="Garamond" w:eastAsia="Garamond" w:hAnsi="Garamond" w:cs="Garamond"/>
        </w:rPr>
      </w:pPr>
      <w:r w:rsidRPr="00BD5EC1">
        <w:rPr>
          <w:rFonts w:ascii="Garamond" w:eastAsia="Garamond" w:hAnsi="Garamond" w:cs="Garamond"/>
          <w:color w:val="242424"/>
        </w:rPr>
        <w:t>Next, the team clipped all layers to a fuel mask provided by CONAF indicating which areas contain enough fuel quantity and continuity to burn.</w:t>
      </w:r>
      <w:r w:rsidRPr="00D37A61">
        <w:rPr>
          <w:rFonts w:ascii="Garamond" w:eastAsia="Garamond" w:hAnsi="Garamond" w:cs="Garamond"/>
        </w:rPr>
        <w:t xml:space="preserve"> Additionally</w:t>
      </w:r>
      <w:r w:rsidRPr="00090D0D">
        <w:rPr>
          <w:rFonts w:ascii="Garamond" w:eastAsia="Garamond" w:hAnsi="Garamond" w:cs="Garamond"/>
        </w:rPr>
        <w:t xml:space="preserve">, In ArcGIS Pro 2.9, the team converted the fuel mask layer into a raster representing the proportion of fuel laden area in fishnet cells. First, the team used the create fishnet tool in ArcGIS Pro 2.9 to create an 8km-by-8km square grid over the study area. The team selected this cell size to accommodate the uncertainty of the GLM data. The GLM sensor has an uncertainty range of </w:t>
      </w:r>
      <w:r w:rsidR="09D39C65" w:rsidRPr="00090D0D">
        <w:rPr>
          <w:rFonts w:ascii="Garamond" w:eastAsia="Garamond" w:hAnsi="Garamond" w:cs="Garamond"/>
        </w:rPr>
        <w:t>±</w:t>
      </w:r>
      <w:r w:rsidR="3C6A40F0" w:rsidRPr="00090D0D">
        <w:rPr>
          <w:rFonts w:ascii="Garamond" w:eastAsia="Garamond" w:hAnsi="Garamond" w:cs="Garamond"/>
        </w:rPr>
        <w:t xml:space="preserve"> </w:t>
      </w:r>
      <w:r w:rsidRPr="00090D0D">
        <w:rPr>
          <w:rFonts w:ascii="Garamond" w:eastAsia="Garamond" w:hAnsi="Garamond" w:cs="Garamond"/>
        </w:rPr>
        <w:t xml:space="preserve">8 kilometers from the nadir, or the point directly below the satellite within the given reference system. Thus, an 8km grid allows for uncertainty within a range of one cell in any direction from the location of actual strike, leading to less inaccuracy as compared to the hypothetical smaller grid. Next, the team used the intersect tool to create polygons of fuel-laden area within each cell, and then the dissolve tool (with the fishnet ID as the dissolve parameter) to merge disjunct polygons within the same cell. The </w:t>
      </w:r>
      <w:proofErr w:type="spellStart"/>
      <w:r w:rsidRPr="00090D0D">
        <w:rPr>
          <w:rFonts w:ascii="Garamond" w:eastAsia="Garamond" w:hAnsi="Garamond" w:cs="Garamond"/>
        </w:rPr>
        <w:t>Shape_Area</w:t>
      </w:r>
      <w:proofErr w:type="spellEnd"/>
      <w:r w:rsidRPr="00090D0D">
        <w:rPr>
          <w:rFonts w:ascii="Garamond" w:eastAsia="Garamond" w:hAnsi="Garamond" w:cs="Garamond"/>
        </w:rPr>
        <w:t xml:space="preserve"> attribute of the dissolved polygons layer was joined back to the original fishnet layer, yielding an attribute table with f</w:t>
      </w:r>
      <w:r w:rsidR="00151B13">
        <w:rPr>
          <w:rFonts w:ascii="Garamond" w:eastAsia="Garamond" w:hAnsi="Garamond" w:cs="Garamond"/>
        </w:rPr>
        <w:t>ields</w:t>
      </w:r>
      <w:r w:rsidRPr="00090D0D">
        <w:rPr>
          <w:rFonts w:ascii="Garamond" w:eastAsia="Garamond" w:hAnsi="Garamond" w:cs="Garamond"/>
        </w:rPr>
        <w:t xml:space="preserve"> containing the total area and the fuel laden area for each fishnet cell. Finally, the calculate fields tool was used to calculate the proportion of each cell that was fuel laden according to equation 2.</w:t>
      </w:r>
    </w:p>
    <w:p w14:paraId="7B9F326A" w14:textId="377FFD4C" w:rsidR="094F0F4F" w:rsidRPr="00BD5EC1" w:rsidRDefault="094F0F4F" w:rsidP="3C6A40F0">
      <w:pPr>
        <w:spacing w:after="0" w:line="240" w:lineRule="auto"/>
        <w:rPr>
          <w:rFonts w:ascii="Garamond" w:eastAsia="Garamond" w:hAnsi="Garamond" w:cs="Garamond"/>
          <w:sz w:val="18"/>
          <w:szCs w:val="18"/>
        </w:rPr>
      </w:pPr>
    </w:p>
    <w:p w14:paraId="5269FA89" w14:textId="6F505041" w:rsidR="3C6A40F0" w:rsidRPr="00090D0D" w:rsidRDefault="003839DC" w:rsidP="003839DC">
      <w:pPr>
        <w:spacing w:after="0" w:line="240" w:lineRule="auto"/>
        <w:jc w:val="center"/>
        <w:rPr>
          <w:rFonts w:ascii="Garamond" w:hAnsi="Garamond"/>
          <w:iCs/>
        </w:rPr>
      </w:pPr>
      <w:r>
        <w:rPr>
          <w:rFonts w:ascii="Garamond" w:eastAsia="Garamond" w:hAnsi="Garamond" w:cs="Garamond"/>
          <w:sz w:val="24"/>
          <w:szCs w:val="24"/>
        </w:rPr>
        <w:t xml:space="preserve">                                                         </w:t>
      </w:r>
      <m:oMath>
        <m:r>
          <w:rPr>
            <w:rFonts w:ascii="Cambria Math" w:eastAsia="Garamond" w:hAnsi="Cambria Math" w:cs="Garamond"/>
            <w:sz w:val="28"/>
            <w:szCs w:val="28"/>
          </w:rPr>
          <m:t xml:space="preserve"> </m:t>
        </m:r>
        <m:f>
          <m:fPr>
            <m:ctrlPr>
              <w:rPr>
                <w:rFonts w:ascii="Cambria Math" w:eastAsia="Garamond" w:hAnsi="Cambria Math" w:cs="Garamond"/>
                <w:sz w:val="28"/>
                <w:szCs w:val="28"/>
              </w:rPr>
            </m:ctrlPr>
          </m:fPr>
          <m:num>
            <m:r>
              <m:rPr>
                <m:nor/>
              </m:rPr>
              <w:rPr>
                <w:rFonts w:ascii="Garamond" w:eastAsia="Garamond" w:hAnsi="Garamond" w:cs="Garamond"/>
                <w:sz w:val="28"/>
                <w:szCs w:val="28"/>
              </w:rPr>
              <m:t>Fuel Laden Area</m:t>
            </m:r>
          </m:num>
          <m:den>
            <m:r>
              <m:rPr>
                <m:nor/>
              </m:rPr>
              <w:rPr>
                <w:rFonts w:ascii="Garamond" w:eastAsia="Garamond" w:hAnsi="Garamond" w:cs="Garamond"/>
                <w:sz w:val="28"/>
                <w:szCs w:val="28"/>
              </w:rPr>
              <m:t>Total Cell Area</m:t>
            </m:r>
          </m:den>
        </m:f>
        <m:r>
          <m:rPr>
            <m:sty m:val="p"/>
          </m:rPr>
          <w:rPr>
            <w:rFonts w:ascii="Cambria Math" w:eastAsia="Garamond" w:hAnsi="Cambria Math" w:cs="Garamond"/>
          </w:rPr>
          <m:t xml:space="preserve"> </m:t>
        </m:r>
      </m:oMath>
      <w:r>
        <w:rPr>
          <w:rFonts w:ascii="Garamond" w:hAnsi="Garamond"/>
          <w:sz w:val="16"/>
          <w:szCs w:val="16"/>
        </w:rPr>
        <w:t xml:space="preserve"> </w:t>
      </w:r>
      <w:r>
        <w:rPr>
          <w:rFonts w:ascii="Garamond" w:hAnsi="Garamond"/>
          <w:sz w:val="16"/>
          <w:szCs w:val="16"/>
        </w:rPr>
        <w:tab/>
      </w:r>
      <w:r>
        <w:rPr>
          <w:rFonts w:ascii="Garamond" w:hAnsi="Garamond"/>
          <w:sz w:val="16"/>
          <w:szCs w:val="16"/>
        </w:rPr>
        <w:tab/>
      </w:r>
      <w:r>
        <w:rPr>
          <w:rFonts w:ascii="Garamond" w:hAnsi="Garamond"/>
          <w:sz w:val="16"/>
          <w:szCs w:val="16"/>
        </w:rPr>
        <w:tab/>
      </w:r>
      <w:r>
        <w:rPr>
          <w:rFonts w:ascii="Garamond" w:hAnsi="Garamond"/>
          <w:sz w:val="16"/>
          <w:szCs w:val="16"/>
        </w:rPr>
        <w:tab/>
      </w:r>
      <w:r>
        <w:rPr>
          <w:rFonts w:ascii="Garamond" w:hAnsi="Garamond"/>
          <w:sz w:val="16"/>
          <w:szCs w:val="16"/>
        </w:rPr>
        <w:tab/>
        <w:t xml:space="preserve"> </w:t>
      </w:r>
      <w:r w:rsidRPr="00090D0D">
        <w:rPr>
          <w:rFonts w:ascii="Garamond" w:eastAsia="Garamond" w:hAnsi="Garamond" w:cs="Garamond"/>
          <w:color w:val="000000" w:themeColor="text1"/>
        </w:rPr>
        <w:t>(2)</w:t>
      </w:r>
    </w:p>
    <w:p w14:paraId="4656D2A8" w14:textId="4CD2F721" w:rsidR="3C6A40F0" w:rsidRPr="00090D0D" w:rsidRDefault="3C6A40F0" w:rsidP="00C36839">
      <w:pPr>
        <w:spacing w:after="0" w:line="240" w:lineRule="auto"/>
        <w:ind w:left="1440"/>
        <w:jc w:val="right"/>
        <w:rPr>
          <w:rFonts w:ascii="Garamond" w:eastAsia="Garamond" w:hAnsi="Garamond" w:cs="Garamond"/>
          <w:color w:val="000000" w:themeColor="text1"/>
        </w:rPr>
      </w:pPr>
      <w:r w:rsidRPr="00090D0D">
        <w:rPr>
          <w:rFonts w:ascii="Garamond" w:eastAsia="Garamond" w:hAnsi="Garamond" w:cs="Garamond"/>
          <w:color w:val="000000" w:themeColor="text1"/>
        </w:rPr>
        <w:t xml:space="preserve">      </w:t>
      </w:r>
    </w:p>
    <w:p w14:paraId="57D6BB23" w14:textId="77777777" w:rsidR="00C36839" w:rsidRPr="00090D0D" w:rsidRDefault="00C36839" w:rsidP="00C36839">
      <w:pPr>
        <w:spacing w:after="0" w:line="240" w:lineRule="auto"/>
        <w:ind w:left="1440"/>
        <w:jc w:val="right"/>
        <w:rPr>
          <w:rFonts w:ascii="Garamond" w:eastAsia="Garamond" w:hAnsi="Garamond" w:cs="Garamond"/>
          <w:color w:val="000000" w:themeColor="text1"/>
        </w:rPr>
      </w:pPr>
    </w:p>
    <w:p w14:paraId="538A5F1D" w14:textId="20BE9355" w:rsidR="00A43059" w:rsidRPr="00090D0D" w:rsidRDefault="049A8567" w:rsidP="3C6A40F0">
      <w:pPr>
        <w:spacing w:after="0" w:line="240" w:lineRule="auto"/>
        <w:rPr>
          <w:rFonts w:ascii="Garamond" w:eastAsia="Garamond" w:hAnsi="Garamond" w:cs="Garamond"/>
          <w:b/>
          <w:bCs/>
          <w:i/>
          <w:iCs/>
        </w:rPr>
      </w:pPr>
      <w:r w:rsidRPr="00090D0D">
        <w:rPr>
          <w:rFonts w:ascii="Garamond" w:eastAsia="Garamond" w:hAnsi="Garamond" w:cs="Garamond"/>
          <w:b/>
          <w:bCs/>
          <w:i/>
          <w:iCs/>
        </w:rPr>
        <w:lastRenderedPageBreak/>
        <w:t>3.3 Data Analysis</w:t>
      </w:r>
    </w:p>
    <w:p w14:paraId="1C1AF7CD" w14:textId="545F7944" w:rsidR="00F121FB" w:rsidRPr="00090D0D" w:rsidRDefault="792C7161" w:rsidP="3C6A40F0">
      <w:pPr>
        <w:spacing w:after="0" w:line="240" w:lineRule="auto"/>
        <w:rPr>
          <w:rFonts w:ascii="Garamond" w:eastAsia="Garamond" w:hAnsi="Garamond" w:cs="Garamond"/>
        </w:rPr>
      </w:pPr>
      <w:r w:rsidRPr="00090D0D">
        <w:rPr>
          <w:rFonts w:ascii="Garamond" w:eastAsia="Garamond" w:hAnsi="Garamond" w:cs="Garamond"/>
        </w:rPr>
        <w:t>First, the team created a program that creates a spatiotemporal buffer around each VIIRS AFP point and counts the number of lightning strikes within said buffer. This serves as a non-causal analysis system for understanding where, and when, lightning strikes are in the same general area as new fires. For the scope of the project, that was as close as the team could get to understanding coincidental lightning strikes and wildfires.</w:t>
      </w:r>
    </w:p>
    <w:p w14:paraId="685938DB" w14:textId="72BF28F1" w:rsidR="094F0F4F" w:rsidRPr="00090D0D" w:rsidRDefault="094F0F4F" w:rsidP="3C6A40F0">
      <w:pPr>
        <w:spacing w:after="0" w:line="240" w:lineRule="auto"/>
        <w:rPr>
          <w:rFonts w:ascii="Garamond" w:eastAsia="Garamond" w:hAnsi="Garamond" w:cs="Garamond"/>
        </w:rPr>
      </w:pPr>
    </w:p>
    <w:p w14:paraId="4650E6DB" w14:textId="244C63CA" w:rsidR="00F35BEA" w:rsidRPr="00090D0D" w:rsidRDefault="792C7161" w:rsidP="00F35BEA">
      <w:pPr>
        <w:spacing w:after="0" w:line="240" w:lineRule="auto"/>
        <w:rPr>
          <w:rFonts w:ascii="Garamond" w:eastAsia="Garamond" w:hAnsi="Garamond" w:cs="Garamond"/>
        </w:rPr>
      </w:pPr>
      <w:r w:rsidRPr="00090D0D">
        <w:rPr>
          <w:rFonts w:ascii="Garamond" w:eastAsia="Garamond" w:hAnsi="Garamond" w:cs="Garamond"/>
        </w:rPr>
        <w:t>Next the team used a fishnet analysis to calculate relative lightning ignited wildfire risks using the following factors: lightning frequency, LST, NDMI, and fuel (</w:t>
      </w:r>
      <w:r w:rsidR="008A12DE">
        <w:rPr>
          <w:rFonts w:ascii="Garamond" w:eastAsia="Garamond" w:hAnsi="Garamond" w:cs="Garamond"/>
        </w:rPr>
        <w:t>F</w:t>
      </w:r>
      <w:r w:rsidRPr="00090D0D">
        <w:rPr>
          <w:rFonts w:ascii="Garamond" w:eastAsia="Garamond" w:hAnsi="Garamond" w:cs="Garamond"/>
        </w:rPr>
        <w:t xml:space="preserve">igure </w:t>
      </w:r>
      <w:r w:rsidR="008A12DE">
        <w:rPr>
          <w:rFonts w:ascii="Garamond" w:eastAsia="Garamond" w:hAnsi="Garamond" w:cs="Garamond"/>
        </w:rPr>
        <w:t>2</w:t>
      </w:r>
      <w:r w:rsidRPr="00090D0D">
        <w:rPr>
          <w:rFonts w:ascii="Garamond" w:eastAsia="Garamond" w:hAnsi="Garamond" w:cs="Garamond"/>
        </w:rPr>
        <w:t xml:space="preserve">). The team </w:t>
      </w:r>
      <w:r w:rsidR="008A12DE">
        <w:rPr>
          <w:rFonts w:ascii="Garamond" w:eastAsia="Garamond" w:hAnsi="Garamond" w:cs="Garamond"/>
        </w:rPr>
        <w:t xml:space="preserve">summarized each factor by calculating a value for each cell using the same </w:t>
      </w:r>
      <w:r w:rsidRPr="00090D0D">
        <w:rPr>
          <w:rFonts w:ascii="Garamond" w:eastAsia="Garamond" w:hAnsi="Garamond" w:cs="Garamond"/>
        </w:rPr>
        <w:t xml:space="preserve">8km by 8km fishnet used to calculate percent fuel. Lightning strikes were represented by point data, so the team tallied the number of strikes per grid cell using a spatial join and then standardized the count to counts per month by dividing by the number of months in the seasonal data set (12 for all seasons, 4 for fire season, 8 for off season). LST and NDMI were represented by raster data, so the median pixel value in each grid cell was calculated using the zonal statistics tool. </w:t>
      </w:r>
      <w:r w:rsidR="3C6A40F0" w:rsidRPr="00090D0D">
        <w:rPr>
          <w:rFonts w:ascii="Garamond" w:eastAsia="Garamond" w:hAnsi="Garamond" w:cs="Garamond"/>
        </w:rPr>
        <w:t xml:space="preserve">The fishnet LST means, NDMI means, and lightning strike frequencies were sorted into broadly ranked risk categories ranging from 1-5 using the reclassify tool and the reclassification schemes shown in </w:t>
      </w:r>
      <w:r w:rsidR="00E6515F">
        <w:rPr>
          <w:rFonts w:ascii="Garamond" w:eastAsia="Garamond" w:hAnsi="Garamond" w:cs="Garamond"/>
        </w:rPr>
        <w:t>Table 2</w:t>
      </w:r>
      <w:r w:rsidR="3C6A40F0" w:rsidRPr="00090D0D">
        <w:rPr>
          <w:rFonts w:ascii="Garamond" w:eastAsia="Garamond" w:hAnsi="Garamond" w:cs="Garamond"/>
        </w:rPr>
        <w:t>.</w:t>
      </w:r>
      <w:r w:rsidR="00600F3A">
        <w:rPr>
          <w:rFonts w:ascii="Garamond" w:eastAsia="Garamond" w:hAnsi="Garamond" w:cs="Garamond"/>
        </w:rPr>
        <w:t xml:space="preserve"> </w:t>
      </w:r>
      <w:r w:rsidR="3C6A40F0" w:rsidRPr="00090D0D">
        <w:rPr>
          <w:rFonts w:ascii="Garamond" w:eastAsia="Garamond" w:hAnsi="Garamond" w:cs="Garamond"/>
        </w:rPr>
        <w:t xml:space="preserve">Lightning risk ranks (Figure </w:t>
      </w:r>
      <w:r w:rsidR="00F35BEA">
        <w:rPr>
          <w:rFonts w:ascii="Garamond" w:eastAsia="Garamond" w:hAnsi="Garamond" w:cs="Garamond"/>
        </w:rPr>
        <w:t>3</w:t>
      </w:r>
      <w:r w:rsidR="3C6A40F0" w:rsidRPr="00090D0D">
        <w:rPr>
          <w:rFonts w:ascii="Garamond" w:eastAsia="Garamond" w:hAnsi="Garamond" w:cs="Garamond"/>
        </w:rPr>
        <w:t xml:space="preserve">) were dominated by </w:t>
      </w:r>
      <w:r w:rsidR="00BD5EC1" w:rsidRPr="00090D0D">
        <w:rPr>
          <w:rFonts w:ascii="Garamond" w:eastAsia="Garamond" w:hAnsi="Garamond" w:cs="Garamond"/>
        </w:rPr>
        <w:t>low</w:t>
      </w:r>
      <w:r w:rsidR="00BD5EC1">
        <w:rPr>
          <w:rFonts w:ascii="Garamond" w:eastAsia="Garamond" w:hAnsi="Garamond" w:cs="Garamond"/>
        </w:rPr>
        <w:t>-risk</w:t>
      </w:r>
      <w:r w:rsidR="3C6A40F0" w:rsidRPr="00090D0D">
        <w:rPr>
          <w:rFonts w:ascii="Garamond" w:eastAsia="Garamond" w:hAnsi="Garamond" w:cs="Garamond"/>
        </w:rPr>
        <w:t xml:space="preserve"> rank areas, with small areas of high-risk ranks along the Andean front, which were highest during fire season.</w:t>
      </w:r>
      <w:r w:rsidR="00F35BEA">
        <w:rPr>
          <w:rFonts w:ascii="Garamond" w:eastAsia="Garamond" w:hAnsi="Garamond" w:cs="Garamond"/>
        </w:rPr>
        <w:t xml:space="preserve"> </w:t>
      </w:r>
      <w:r w:rsidR="00F35BEA" w:rsidRPr="00090D0D">
        <w:rPr>
          <w:rFonts w:ascii="Garamond" w:eastAsia="Garamond" w:hAnsi="Garamond" w:cs="Garamond"/>
        </w:rPr>
        <w:t xml:space="preserve">The team calculated the cumulative risk by summing the individual risk ranks for LST, NDMI, and lightning strikes, and then multiplying that value by the percent of fuel laden area in that cell (Figure </w:t>
      </w:r>
      <w:r w:rsidR="00F35BEA">
        <w:rPr>
          <w:rFonts w:ascii="Garamond" w:eastAsia="Garamond" w:hAnsi="Garamond" w:cs="Garamond"/>
        </w:rPr>
        <w:t>3</w:t>
      </w:r>
      <w:r w:rsidR="00F35BEA" w:rsidRPr="00090D0D">
        <w:rPr>
          <w:rFonts w:ascii="Garamond" w:eastAsia="Garamond" w:hAnsi="Garamond" w:cs="Garamond"/>
        </w:rPr>
        <w:t>)</w:t>
      </w:r>
    </w:p>
    <w:p w14:paraId="6C979A42" w14:textId="28B52877" w:rsidR="094F0F4F" w:rsidRPr="00090D0D" w:rsidRDefault="094F0F4F" w:rsidP="3C6A40F0">
      <w:pPr>
        <w:spacing w:after="0" w:line="240" w:lineRule="auto"/>
        <w:rPr>
          <w:rFonts w:ascii="Garamond" w:eastAsia="Garamond" w:hAnsi="Garamond" w:cs="Garamond"/>
        </w:rPr>
      </w:pPr>
    </w:p>
    <w:p w14:paraId="445983FC" w14:textId="6E7F710A" w:rsidR="094F0F4F" w:rsidRPr="00090D0D" w:rsidRDefault="094F0F4F" w:rsidP="3C6A40F0">
      <w:pPr>
        <w:spacing w:after="0" w:line="240" w:lineRule="auto"/>
        <w:rPr>
          <w:rFonts w:ascii="Garamond" w:eastAsia="Garamond" w:hAnsi="Garamond" w:cs="Garamond"/>
        </w:rPr>
      </w:pPr>
    </w:p>
    <w:p w14:paraId="3A1B2381" w14:textId="3EDD2E96" w:rsidR="094F0F4F" w:rsidRPr="00090D0D" w:rsidRDefault="094F0F4F" w:rsidP="3C6A40F0">
      <w:pPr>
        <w:spacing w:after="0" w:line="240" w:lineRule="auto"/>
        <w:rPr>
          <w:rFonts w:ascii="Garamond" w:eastAsia="Garamond" w:hAnsi="Garamond" w:cs="Garamond"/>
        </w:rPr>
      </w:pPr>
    </w:p>
    <w:p w14:paraId="2897AC1E" w14:textId="330F048C" w:rsidR="094F0F4F" w:rsidRPr="00090D0D" w:rsidRDefault="3C6A40F0" w:rsidP="3C6A40F0">
      <w:pPr>
        <w:spacing w:after="0" w:line="240" w:lineRule="auto"/>
        <w:rPr>
          <w:rFonts w:ascii="Garamond" w:eastAsia="Garamond" w:hAnsi="Garamond" w:cs="Garamond"/>
        </w:rPr>
      </w:pPr>
      <w:r w:rsidRPr="00090D0D">
        <w:rPr>
          <w:rFonts w:ascii="Garamond" w:hAnsi="Garamond"/>
          <w:noProof/>
        </w:rPr>
        <w:drawing>
          <wp:inline distT="0" distB="0" distL="0" distR="0" wp14:anchorId="54CA8A2E" wp14:editId="4DC6CEBA">
            <wp:extent cx="4572000" cy="2009775"/>
            <wp:effectExtent l="0" t="0" r="0" b="0"/>
            <wp:docPr id="562918760" name="Picture 562918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009775"/>
                    </a:xfrm>
                    <a:prstGeom prst="rect">
                      <a:avLst/>
                    </a:prstGeom>
                  </pic:spPr>
                </pic:pic>
              </a:graphicData>
            </a:graphic>
          </wp:inline>
        </w:drawing>
      </w:r>
    </w:p>
    <w:p w14:paraId="4ECC6D3D" w14:textId="5E855738" w:rsidR="094F0F4F" w:rsidRDefault="3C6A40F0" w:rsidP="3C6A40F0">
      <w:pPr>
        <w:spacing w:after="0" w:line="240" w:lineRule="auto"/>
        <w:rPr>
          <w:rFonts w:ascii="Garamond" w:eastAsia="Garamond" w:hAnsi="Garamond" w:cs="Garamond"/>
        </w:rPr>
      </w:pPr>
      <w:r w:rsidRPr="00090D0D">
        <w:rPr>
          <w:rFonts w:ascii="Garamond" w:eastAsia="Garamond" w:hAnsi="Garamond" w:cs="Garamond"/>
          <w:i/>
          <w:iCs/>
        </w:rPr>
        <w:t xml:space="preserve">Figure 2. </w:t>
      </w:r>
      <w:r w:rsidRPr="00090D0D">
        <w:rPr>
          <w:rFonts w:ascii="Garamond" w:eastAsia="Garamond" w:hAnsi="Garamond" w:cs="Garamond"/>
        </w:rPr>
        <w:t>A schematic of the fishnet analysis used to calculate the relative risk ranks across the study area. This example depicts risk ranks for LST during the fire season, but the methodology was for all seasonal periods and for NDMI and lightning frequency data.</w:t>
      </w:r>
    </w:p>
    <w:p w14:paraId="592DE19A" w14:textId="77777777" w:rsidR="00600F3A" w:rsidRPr="00090D0D" w:rsidRDefault="00600F3A" w:rsidP="3C6A40F0">
      <w:pPr>
        <w:spacing w:after="0" w:line="240" w:lineRule="auto"/>
        <w:rPr>
          <w:rFonts w:ascii="Garamond" w:eastAsia="Garamond" w:hAnsi="Garamond" w:cs="Garamond"/>
        </w:rPr>
      </w:pPr>
    </w:p>
    <w:p w14:paraId="5034C36F" w14:textId="77777777" w:rsidR="00600F3A" w:rsidRPr="00090D0D" w:rsidRDefault="00600F3A" w:rsidP="00600F3A">
      <w:pPr>
        <w:spacing w:after="0" w:line="240" w:lineRule="auto"/>
        <w:rPr>
          <w:rFonts w:ascii="Garamond" w:eastAsia="Garamond" w:hAnsi="Garamond" w:cs="Garamond"/>
          <w:i/>
          <w:iCs/>
          <w:color w:val="000000" w:themeColor="text1"/>
        </w:rPr>
      </w:pPr>
      <w:r w:rsidRPr="00090D0D">
        <w:rPr>
          <w:rFonts w:ascii="Garamond" w:eastAsia="Garamond" w:hAnsi="Garamond" w:cs="Garamond"/>
          <w:color w:val="000000" w:themeColor="text1"/>
        </w:rPr>
        <w:t>Table 2</w:t>
      </w:r>
    </w:p>
    <w:p w14:paraId="4B158797" w14:textId="2CCFAC81" w:rsidR="094F0F4F" w:rsidRPr="00090D0D" w:rsidRDefault="00600F3A" w:rsidP="3C6A40F0">
      <w:pPr>
        <w:spacing w:after="0" w:line="240" w:lineRule="auto"/>
        <w:rPr>
          <w:rFonts w:ascii="Garamond" w:eastAsia="Garamond" w:hAnsi="Garamond" w:cs="Garamond"/>
          <w:highlight w:val="yellow"/>
        </w:rPr>
      </w:pPr>
      <w:r w:rsidRPr="00090D0D">
        <w:rPr>
          <w:rFonts w:ascii="Garamond" w:eastAsia="Garamond" w:hAnsi="Garamond" w:cs="Garamond"/>
          <w:i/>
          <w:iCs/>
          <w:color w:val="000000" w:themeColor="text1"/>
        </w:rPr>
        <w:t>Risk rank scales for each GLM, NDMI, and LST risk.</w:t>
      </w:r>
    </w:p>
    <w:tbl>
      <w:tblPr>
        <w:tblW w:w="0" w:type="auto"/>
        <w:tblLayout w:type="fixed"/>
        <w:tblLook w:val="04A0" w:firstRow="1" w:lastRow="0" w:firstColumn="1" w:lastColumn="0" w:noHBand="0" w:noVBand="1"/>
      </w:tblPr>
      <w:tblGrid>
        <w:gridCol w:w="1560"/>
        <w:gridCol w:w="1950"/>
        <w:gridCol w:w="2070"/>
      </w:tblGrid>
      <w:tr w:rsidR="3C6A40F0" w:rsidRPr="00090D0D" w14:paraId="63EB581E" w14:textId="77777777" w:rsidTr="00BD5EC1">
        <w:trPr>
          <w:trHeight w:val="315"/>
        </w:trPr>
        <w:tc>
          <w:tcPr>
            <w:tcW w:w="1560" w:type="dxa"/>
            <w:tcBorders>
              <w:top w:val="single" w:sz="8" w:space="0" w:color="auto"/>
              <w:left w:val="single" w:sz="8" w:space="0" w:color="auto"/>
              <w:bottom w:val="single" w:sz="8" w:space="0" w:color="auto"/>
              <w:right w:val="single" w:sz="8" w:space="0" w:color="auto"/>
            </w:tcBorders>
            <w:vAlign w:val="bottom"/>
          </w:tcPr>
          <w:p w14:paraId="0D54B78C" w14:textId="1C338C6A" w:rsidR="3C6A40F0" w:rsidRPr="00090D0D" w:rsidRDefault="3C6A40F0" w:rsidP="3C6A40F0">
            <w:pPr>
              <w:rPr>
                <w:rFonts w:ascii="Garamond" w:eastAsia="Garamond" w:hAnsi="Garamond" w:cs="Garamond"/>
                <w:color w:val="000000" w:themeColor="text1"/>
              </w:rPr>
            </w:pPr>
            <w:r w:rsidRPr="00090D0D">
              <w:rPr>
                <w:rFonts w:ascii="Garamond" w:eastAsia="Garamond" w:hAnsi="Garamond" w:cs="Garamond"/>
                <w:color w:val="000000" w:themeColor="text1"/>
              </w:rPr>
              <w:t>GLM Rank</w:t>
            </w:r>
          </w:p>
        </w:tc>
        <w:tc>
          <w:tcPr>
            <w:tcW w:w="1950" w:type="dxa"/>
            <w:tcBorders>
              <w:top w:val="single" w:sz="8" w:space="0" w:color="auto"/>
              <w:left w:val="single" w:sz="8" w:space="0" w:color="auto"/>
              <w:bottom w:val="single" w:sz="8" w:space="0" w:color="auto"/>
              <w:right w:val="single" w:sz="8" w:space="0" w:color="auto"/>
            </w:tcBorders>
            <w:vAlign w:val="bottom"/>
          </w:tcPr>
          <w:p w14:paraId="2A55ED02" w14:textId="646D7D1B" w:rsidR="3C6A40F0" w:rsidRPr="00090D0D" w:rsidRDefault="3C6A40F0" w:rsidP="3C6A40F0">
            <w:pPr>
              <w:rPr>
                <w:rFonts w:ascii="Garamond" w:eastAsia="Garamond" w:hAnsi="Garamond" w:cs="Garamond"/>
                <w:color w:val="000000" w:themeColor="text1"/>
              </w:rPr>
            </w:pPr>
            <w:r w:rsidRPr="00090D0D">
              <w:rPr>
                <w:rFonts w:ascii="Garamond" w:eastAsia="Garamond" w:hAnsi="Garamond" w:cs="Garamond"/>
                <w:color w:val="000000" w:themeColor="text1"/>
              </w:rPr>
              <w:t>Lower Strike Value</w:t>
            </w:r>
          </w:p>
        </w:tc>
        <w:tc>
          <w:tcPr>
            <w:tcW w:w="2070" w:type="dxa"/>
            <w:tcBorders>
              <w:top w:val="single" w:sz="8" w:space="0" w:color="auto"/>
              <w:left w:val="single" w:sz="8" w:space="0" w:color="auto"/>
              <w:bottom w:val="single" w:sz="8" w:space="0" w:color="auto"/>
              <w:right w:val="single" w:sz="8" w:space="0" w:color="auto"/>
            </w:tcBorders>
            <w:vAlign w:val="bottom"/>
          </w:tcPr>
          <w:p w14:paraId="24C47131" w14:textId="23FD79CF" w:rsidR="3C6A40F0" w:rsidRPr="00090D0D" w:rsidRDefault="3C6A40F0" w:rsidP="3C6A40F0">
            <w:pPr>
              <w:rPr>
                <w:rFonts w:ascii="Garamond" w:eastAsia="Garamond" w:hAnsi="Garamond" w:cs="Garamond"/>
                <w:color w:val="000000" w:themeColor="text1"/>
              </w:rPr>
            </w:pPr>
            <w:r w:rsidRPr="00090D0D">
              <w:rPr>
                <w:rFonts w:ascii="Garamond" w:eastAsia="Garamond" w:hAnsi="Garamond" w:cs="Garamond"/>
                <w:color w:val="000000" w:themeColor="text1"/>
              </w:rPr>
              <w:t>Upper Strike Value</w:t>
            </w:r>
          </w:p>
        </w:tc>
      </w:tr>
      <w:tr w:rsidR="3C6A40F0" w:rsidRPr="00090D0D" w14:paraId="7D369FDA" w14:textId="77777777" w:rsidTr="00BD5EC1">
        <w:trPr>
          <w:trHeight w:val="480"/>
        </w:trPr>
        <w:tc>
          <w:tcPr>
            <w:tcW w:w="1560" w:type="dxa"/>
            <w:tcBorders>
              <w:top w:val="single" w:sz="8" w:space="0" w:color="auto"/>
              <w:left w:val="single" w:sz="8" w:space="0" w:color="auto"/>
              <w:bottom w:val="single" w:sz="4" w:space="0" w:color="auto"/>
              <w:right w:val="single" w:sz="4" w:space="0" w:color="auto"/>
            </w:tcBorders>
            <w:vAlign w:val="bottom"/>
          </w:tcPr>
          <w:p w14:paraId="4E69A027" w14:textId="583E96BB"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1</w:t>
            </w:r>
          </w:p>
        </w:tc>
        <w:tc>
          <w:tcPr>
            <w:tcW w:w="1950" w:type="dxa"/>
            <w:tcBorders>
              <w:top w:val="single" w:sz="8" w:space="0" w:color="auto"/>
              <w:left w:val="single" w:sz="4" w:space="0" w:color="auto"/>
              <w:bottom w:val="single" w:sz="4" w:space="0" w:color="auto"/>
              <w:right w:val="single" w:sz="4" w:space="0" w:color="auto"/>
            </w:tcBorders>
            <w:vAlign w:val="bottom"/>
          </w:tcPr>
          <w:p w14:paraId="1B0E9C56" w14:textId="670BA51F"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0</w:t>
            </w:r>
          </w:p>
        </w:tc>
        <w:tc>
          <w:tcPr>
            <w:tcW w:w="2070" w:type="dxa"/>
            <w:tcBorders>
              <w:top w:val="single" w:sz="8" w:space="0" w:color="auto"/>
              <w:left w:val="single" w:sz="4" w:space="0" w:color="auto"/>
              <w:bottom w:val="single" w:sz="4" w:space="0" w:color="auto"/>
              <w:right w:val="single" w:sz="8" w:space="0" w:color="auto"/>
            </w:tcBorders>
            <w:vAlign w:val="bottom"/>
          </w:tcPr>
          <w:p w14:paraId="04059299" w14:textId="1D12FF60"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5.7</w:t>
            </w:r>
          </w:p>
        </w:tc>
      </w:tr>
      <w:tr w:rsidR="3C6A40F0" w:rsidRPr="00090D0D" w14:paraId="0AEB1C26" w14:textId="77777777" w:rsidTr="00BD5EC1">
        <w:trPr>
          <w:trHeight w:val="480"/>
        </w:trPr>
        <w:tc>
          <w:tcPr>
            <w:tcW w:w="1560" w:type="dxa"/>
            <w:tcBorders>
              <w:top w:val="single" w:sz="4" w:space="0" w:color="auto"/>
              <w:left w:val="single" w:sz="8" w:space="0" w:color="auto"/>
              <w:bottom w:val="single" w:sz="4" w:space="0" w:color="auto"/>
              <w:right w:val="single" w:sz="4" w:space="0" w:color="auto"/>
            </w:tcBorders>
            <w:vAlign w:val="bottom"/>
          </w:tcPr>
          <w:p w14:paraId="3E2EA381" w14:textId="01EFDCA7"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2</w:t>
            </w:r>
          </w:p>
        </w:tc>
        <w:tc>
          <w:tcPr>
            <w:tcW w:w="1950" w:type="dxa"/>
            <w:tcBorders>
              <w:top w:val="single" w:sz="4" w:space="0" w:color="auto"/>
              <w:left w:val="single" w:sz="4" w:space="0" w:color="auto"/>
              <w:bottom w:val="single" w:sz="4" w:space="0" w:color="auto"/>
              <w:right w:val="single" w:sz="4" w:space="0" w:color="auto"/>
            </w:tcBorders>
            <w:vAlign w:val="bottom"/>
          </w:tcPr>
          <w:p w14:paraId="0DF5592F" w14:textId="2D2F9A68"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5.7</w:t>
            </w:r>
          </w:p>
        </w:tc>
        <w:tc>
          <w:tcPr>
            <w:tcW w:w="2070" w:type="dxa"/>
            <w:tcBorders>
              <w:top w:val="single" w:sz="4" w:space="0" w:color="auto"/>
              <w:left w:val="single" w:sz="4" w:space="0" w:color="auto"/>
              <w:bottom w:val="single" w:sz="4" w:space="0" w:color="auto"/>
              <w:right w:val="single" w:sz="8" w:space="0" w:color="auto"/>
            </w:tcBorders>
            <w:vAlign w:val="bottom"/>
          </w:tcPr>
          <w:p w14:paraId="07DC79EE" w14:textId="1C116132"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15.9</w:t>
            </w:r>
          </w:p>
        </w:tc>
      </w:tr>
      <w:tr w:rsidR="3C6A40F0" w:rsidRPr="00090D0D" w14:paraId="11702190" w14:textId="77777777" w:rsidTr="00BD5EC1">
        <w:trPr>
          <w:trHeight w:val="540"/>
        </w:trPr>
        <w:tc>
          <w:tcPr>
            <w:tcW w:w="1560" w:type="dxa"/>
            <w:tcBorders>
              <w:top w:val="single" w:sz="4" w:space="0" w:color="auto"/>
              <w:left w:val="single" w:sz="8" w:space="0" w:color="auto"/>
              <w:bottom w:val="single" w:sz="4" w:space="0" w:color="auto"/>
              <w:right w:val="single" w:sz="4" w:space="0" w:color="auto"/>
            </w:tcBorders>
            <w:vAlign w:val="bottom"/>
          </w:tcPr>
          <w:p w14:paraId="4B288E89" w14:textId="70C7CC46"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3</w:t>
            </w:r>
          </w:p>
        </w:tc>
        <w:tc>
          <w:tcPr>
            <w:tcW w:w="1950" w:type="dxa"/>
            <w:tcBorders>
              <w:top w:val="single" w:sz="4" w:space="0" w:color="auto"/>
              <w:left w:val="single" w:sz="4" w:space="0" w:color="auto"/>
              <w:bottom w:val="single" w:sz="4" w:space="0" w:color="auto"/>
              <w:right w:val="single" w:sz="4" w:space="0" w:color="auto"/>
            </w:tcBorders>
            <w:vAlign w:val="bottom"/>
          </w:tcPr>
          <w:p w14:paraId="100B07E7" w14:textId="0CF79AA8"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15.9</w:t>
            </w:r>
          </w:p>
        </w:tc>
        <w:tc>
          <w:tcPr>
            <w:tcW w:w="2070" w:type="dxa"/>
            <w:tcBorders>
              <w:top w:val="single" w:sz="4" w:space="0" w:color="auto"/>
              <w:left w:val="single" w:sz="4" w:space="0" w:color="auto"/>
              <w:bottom w:val="single" w:sz="4" w:space="0" w:color="auto"/>
              <w:right w:val="single" w:sz="8" w:space="0" w:color="auto"/>
            </w:tcBorders>
            <w:vAlign w:val="bottom"/>
          </w:tcPr>
          <w:p w14:paraId="766264AE" w14:textId="7FB93E30"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34.4</w:t>
            </w:r>
          </w:p>
        </w:tc>
      </w:tr>
      <w:tr w:rsidR="3C6A40F0" w:rsidRPr="00090D0D" w14:paraId="5A025851" w14:textId="77777777" w:rsidTr="00BD5EC1">
        <w:trPr>
          <w:trHeight w:val="315"/>
        </w:trPr>
        <w:tc>
          <w:tcPr>
            <w:tcW w:w="1560" w:type="dxa"/>
            <w:tcBorders>
              <w:top w:val="single" w:sz="4" w:space="0" w:color="auto"/>
              <w:left w:val="single" w:sz="8" w:space="0" w:color="auto"/>
              <w:bottom w:val="single" w:sz="4" w:space="0" w:color="auto"/>
              <w:right w:val="single" w:sz="4" w:space="0" w:color="auto"/>
            </w:tcBorders>
            <w:vAlign w:val="bottom"/>
          </w:tcPr>
          <w:p w14:paraId="4450E2FF" w14:textId="0448B7FC"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4</w:t>
            </w:r>
          </w:p>
        </w:tc>
        <w:tc>
          <w:tcPr>
            <w:tcW w:w="1950" w:type="dxa"/>
            <w:tcBorders>
              <w:top w:val="single" w:sz="4" w:space="0" w:color="auto"/>
              <w:left w:val="single" w:sz="4" w:space="0" w:color="auto"/>
              <w:bottom w:val="single" w:sz="4" w:space="0" w:color="auto"/>
              <w:right w:val="single" w:sz="4" w:space="0" w:color="auto"/>
            </w:tcBorders>
            <w:vAlign w:val="bottom"/>
          </w:tcPr>
          <w:p w14:paraId="5C9A163B" w14:textId="5D999242"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34.4</w:t>
            </w:r>
          </w:p>
        </w:tc>
        <w:tc>
          <w:tcPr>
            <w:tcW w:w="2070" w:type="dxa"/>
            <w:tcBorders>
              <w:top w:val="single" w:sz="4" w:space="0" w:color="auto"/>
              <w:left w:val="single" w:sz="4" w:space="0" w:color="auto"/>
              <w:bottom w:val="single" w:sz="4" w:space="0" w:color="auto"/>
              <w:right w:val="single" w:sz="8" w:space="0" w:color="auto"/>
            </w:tcBorders>
            <w:vAlign w:val="bottom"/>
          </w:tcPr>
          <w:p w14:paraId="1BB1B6B0" w14:textId="08FE4003"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66.3</w:t>
            </w:r>
          </w:p>
        </w:tc>
      </w:tr>
      <w:tr w:rsidR="3C6A40F0" w:rsidRPr="00090D0D" w14:paraId="10ABD0A8" w14:textId="77777777" w:rsidTr="00BD5EC1">
        <w:trPr>
          <w:trHeight w:val="480"/>
        </w:trPr>
        <w:tc>
          <w:tcPr>
            <w:tcW w:w="1560" w:type="dxa"/>
            <w:tcBorders>
              <w:top w:val="single" w:sz="4" w:space="0" w:color="auto"/>
              <w:left w:val="single" w:sz="8" w:space="0" w:color="auto"/>
              <w:bottom w:val="single" w:sz="8" w:space="0" w:color="auto"/>
              <w:right w:val="single" w:sz="4" w:space="0" w:color="auto"/>
            </w:tcBorders>
            <w:vAlign w:val="bottom"/>
          </w:tcPr>
          <w:p w14:paraId="1F77C7D9" w14:textId="33D7A428"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lastRenderedPageBreak/>
              <w:t>5</w:t>
            </w:r>
          </w:p>
        </w:tc>
        <w:tc>
          <w:tcPr>
            <w:tcW w:w="1950" w:type="dxa"/>
            <w:tcBorders>
              <w:top w:val="single" w:sz="4" w:space="0" w:color="auto"/>
              <w:left w:val="single" w:sz="4" w:space="0" w:color="auto"/>
              <w:bottom w:val="single" w:sz="8" w:space="0" w:color="auto"/>
              <w:right w:val="single" w:sz="4" w:space="0" w:color="auto"/>
            </w:tcBorders>
            <w:vAlign w:val="bottom"/>
          </w:tcPr>
          <w:p w14:paraId="3DF7E03D" w14:textId="43798E87"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66.3</w:t>
            </w:r>
          </w:p>
        </w:tc>
        <w:tc>
          <w:tcPr>
            <w:tcW w:w="2070" w:type="dxa"/>
            <w:tcBorders>
              <w:top w:val="single" w:sz="4" w:space="0" w:color="auto"/>
              <w:left w:val="single" w:sz="4" w:space="0" w:color="auto"/>
              <w:bottom w:val="single" w:sz="8" w:space="0" w:color="auto"/>
              <w:right w:val="single" w:sz="8" w:space="0" w:color="auto"/>
            </w:tcBorders>
            <w:vAlign w:val="bottom"/>
          </w:tcPr>
          <w:p w14:paraId="638A9EA1" w14:textId="547F0F83"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131</w:t>
            </w:r>
          </w:p>
        </w:tc>
      </w:tr>
      <w:tr w:rsidR="3C6A40F0" w:rsidRPr="00090D0D" w14:paraId="4B3A9ED1" w14:textId="77777777" w:rsidTr="00BD5EC1">
        <w:trPr>
          <w:trHeight w:val="480"/>
        </w:trPr>
        <w:tc>
          <w:tcPr>
            <w:tcW w:w="1560" w:type="dxa"/>
            <w:tcBorders>
              <w:top w:val="single" w:sz="8" w:space="0" w:color="auto"/>
              <w:left w:val="single" w:sz="8" w:space="0" w:color="auto"/>
              <w:bottom w:val="single" w:sz="8" w:space="0" w:color="auto"/>
              <w:right w:val="single" w:sz="8" w:space="0" w:color="auto"/>
            </w:tcBorders>
            <w:vAlign w:val="bottom"/>
          </w:tcPr>
          <w:p w14:paraId="4071A2F9" w14:textId="5B781072" w:rsidR="3C6A40F0" w:rsidRPr="00090D0D" w:rsidRDefault="3C6A40F0" w:rsidP="3C6A40F0">
            <w:pPr>
              <w:rPr>
                <w:rFonts w:ascii="Garamond" w:eastAsia="Garamond" w:hAnsi="Garamond" w:cs="Garamond"/>
                <w:color w:val="000000" w:themeColor="text1"/>
              </w:rPr>
            </w:pPr>
            <w:r w:rsidRPr="00090D0D">
              <w:rPr>
                <w:rFonts w:ascii="Garamond" w:eastAsia="Garamond" w:hAnsi="Garamond" w:cs="Garamond"/>
                <w:color w:val="000000" w:themeColor="text1"/>
              </w:rPr>
              <w:t>NDMI Ranks</w:t>
            </w:r>
          </w:p>
        </w:tc>
        <w:tc>
          <w:tcPr>
            <w:tcW w:w="1950" w:type="dxa"/>
            <w:tcBorders>
              <w:top w:val="single" w:sz="8" w:space="0" w:color="auto"/>
              <w:left w:val="single" w:sz="8" w:space="0" w:color="auto"/>
              <w:bottom w:val="single" w:sz="8" w:space="0" w:color="auto"/>
              <w:right w:val="single" w:sz="8" w:space="0" w:color="auto"/>
            </w:tcBorders>
            <w:vAlign w:val="bottom"/>
          </w:tcPr>
          <w:p w14:paraId="59AEE39D" w14:textId="5C76CE96" w:rsidR="3C6A40F0" w:rsidRPr="00090D0D" w:rsidRDefault="3C6A40F0" w:rsidP="3C6A40F0">
            <w:pPr>
              <w:rPr>
                <w:rFonts w:ascii="Garamond" w:eastAsia="Garamond" w:hAnsi="Garamond" w:cs="Garamond"/>
                <w:color w:val="000000" w:themeColor="text1"/>
              </w:rPr>
            </w:pPr>
            <w:r w:rsidRPr="00090D0D">
              <w:rPr>
                <w:rFonts w:ascii="Garamond" w:eastAsia="Garamond" w:hAnsi="Garamond" w:cs="Garamond"/>
                <w:color w:val="000000" w:themeColor="text1"/>
              </w:rPr>
              <w:t xml:space="preserve">Lower </w:t>
            </w:r>
            <w:r w:rsidR="00645243">
              <w:rPr>
                <w:rFonts w:ascii="Garamond" w:eastAsia="Garamond" w:hAnsi="Garamond" w:cs="Garamond"/>
                <w:color w:val="000000" w:themeColor="text1"/>
              </w:rPr>
              <w:t xml:space="preserve">NDMI </w:t>
            </w:r>
            <w:r w:rsidRPr="00090D0D">
              <w:rPr>
                <w:rFonts w:ascii="Garamond" w:eastAsia="Garamond" w:hAnsi="Garamond" w:cs="Garamond"/>
                <w:color w:val="000000" w:themeColor="text1"/>
              </w:rPr>
              <w:t>Value</w:t>
            </w:r>
          </w:p>
        </w:tc>
        <w:tc>
          <w:tcPr>
            <w:tcW w:w="2070" w:type="dxa"/>
            <w:tcBorders>
              <w:top w:val="single" w:sz="8" w:space="0" w:color="auto"/>
              <w:left w:val="single" w:sz="8" w:space="0" w:color="auto"/>
              <w:bottom w:val="single" w:sz="8" w:space="0" w:color="auto"/>
              <w:right w:val="single" w:sz="8" w:space="0" w:color="auto"/>
            </w:tcBorders>
            <w:vAlign w:val="bottom"/>
          </w:tcPr>
          <w:p w14:paraId="1C409475" w14:textId="4D8A3E06" w:rsidR="3C6A40F0" w:rsidRPr="00090D0D" w:rsidRDefault="3C6A40F0" w:rsidP="3C6A40F0">
            <w:pPr>
              <w:rPr>
                <w:rFonts w:ascii="Garamond" w:eastAsia="Garamond" w:hAnsi="Garamond" w:cs="Garamond"/>
                <w:color w:val="000000" w:themeColor="text1"/>
              </w:rPr>
            </w:pPr>
            <w:r w:rsidRPr="00090D0D">
              <w:rPr>
                <w:rFonts w:ascii="Garamond" w:eastAsia="Garamond" w:hAnsi="Garamond" w:cs="Garamond"/>
                <w:color w:val="000000" w:themeColor="text1"/>
              </w:rPr>
              <w:t xml:space="preserve">Upper </w:t>
            </w:r>
            <w:r w:rsidR="00645243">
              <w:rPr>
                <w:rFonts w:ascii="Garamond" w:eastAsia="Garamond" w:hAnsi="Garamond" w:cs="Garamond"/>
                <w:color w:val="000000" w:themeColor="text1"/>
              </w:rPr>
              <w:t xml:space="preserve">NDMI </w:t>
            </w:r>
            <w:r w:rsidRPr="00090D0D">
              <w:rPr>
                <w:rFonts w:ascii="Garamond" w:eastAsia="Garamond" w:hAnsi="Garamond" w:cs="Garamond"/>
                <w:color w:val="000000" w:themeColor="text1"/>
              </w:rPr>
              <w:t>Value</w:t>
            </w:r>
          </w:p>
        </w:tc>
      </w:tr>
      <w:tr w:rsidR="3C6A40F0" w:rsidRPr="00090D0D" w14:paraId="0FD365E1" w14:textId="77777777" w:rsidTr="00BD5EC1">
        <w:trPr>
          <w:trHeight w:val="315"/>
        </w:trPr>
        <w:tc>
          <w:tcPr>
            <w:tcW w:w="1560" w:type="dxa"/>
            <w:tcBorders>
              <w:top w:val="single" w:sz="8" w:space="0" w:color="auto"/>
              <w:left w:val="single" w:sz="8" w:space="0" w:color="auto"/>
              <w:bottom w:val="single" w:sz="4" w:space="0" w:color="auto"/>
              <w:right w:val="single" w:sz="4" w:space="0" w:color="auto"/>
            </w:tcBorders>
            <w:vAlign w:val="bottom"/>
          </w:tcPr>
          <w:p w14:paraId="32F89E6B" w14:textId="5D5DF9E9"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1</w:t>
            </w:r>
          </w:p>
        </w:tc>
        <w:tc>
          <w:tcPr>
            <w:tcW w:w="1950" w:type="dxa"/>
            <w:tcBorders>
              <w:top w:val="single" w:sz="8" w:space="0" w:color="auto"/>
              <w:left w:val="single" w:sz="4" w:space="0" w:color="auto"/>
              <w:bottom w:val="single" w:sz="4" w:space="0" w:color="auto"/>
              <w:right w:val="single" w:sz="4" w:space="0" w:color="auto"/>
            </w:tcBorders>
            <w:vAlign w:val="bottom"/>
          </w:tcPr>
          <w:p w14:paraId="659DEC4F" w14:textId="76BA740F"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162.6</w:t>
            </w:r>
          </w:p>
        </w:tc>
        <w:tc>
          <w:tcPr>
            <w:tcW w:w="2070" w:type="dxa"/>
            <w:tcBorders>
              <w:top w:val="single" w:sz="8" w:space="0" w:color="auto"/>
              <w:left w:val="single" w:sz="4" w:space="0" w:color="auto"/>
              <w:bottom w:val="single" w:sz="4" w:space="0" w:color="auto"/>
              <w:right w:val="single" w:sz="8" w:space="0" w:color="auto"/>
            </w:tcBorders>
            <w:vAlign w:val="bottom"/>
          </w:tcPr>
          <w:p w14:paraId="5EB083DA" w14:textId="0177DA8F"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597</w:t>
            </w:r>
          </w:p>
        </w:tc>
      </w:tr>
      <w:tr w:rsidR="3C6A40F0" w:rsidRPr="00090D0D" w14:paraId="3C5F9D46" w14:textId="77777777" w:rsidTr="00BD5EC1">
        <w:trPr>
          <w:trHeight w:val="315"/>
        </w:trPr>
        <w:tc>
          <w:tcPr>
            <w:tcW w:w="1560" w:type="dxa"/>
            <w:tcBorders>
              <w:top w:val="single" w:sz="4" w:space="0" w:color="auto"/>
              <w:left w:val="single" w:sz="8" w:space="0" w:color="auto"/>
              <w:bottom w:val="single" w:sz="4" w:space="0" w:color="auto"/>
              <w:right w:val="single" w:sz="4" w:space="0" w:color="auto"/>
            </w:tcBorders>
            <w:vAlign w:val="bottom"/>
          </w:tcPr>
          <w:p w14:paraId="0B309DA8" w14:textId="582E02CF"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2</w:t>
            </w:r>
          </w:p>
        </w:tc>
        <w:tc>
          <w:tcPr>
            <w:tcW w:w="1950" w:type="dxa"/>
            <w:tcBorders>
              <w:top w:val="single" w:sz="4" w:space="0" w:color="auto"/>
              <w:left w:val="single" w:sz="4" w:space="0" w:color="auto"/>
              <w:bottom w:val="single" w:sz="4" w:space="0" w:color="auto"/>
              <w:right w:val="single" w:sz="4" w:space="0" w:color="auto"/>
            </w:tcBorders>
            <w:vAlign w:val="bottom"/>
          </w:tcPr>
          <w:p w14:paraId="2601C83A" w14:textId="523D1C0D"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111.3</w:t>
            </w:r>
          </w:p>
        </w:tc>
        <w:tc>
          <w:tcPr>
            <w:tcW w:w="2070" w:type="dxa"/>
            <w:tcBorders>
              <w:top w:val="single" w:sz="4" w:space="0" w:color="auto"/>
              <w:left w:val="single" w:sz="4" w:space="0" w:color="auto"/>
              <w:bottom w:val="single" w:sz="4" w:space="0" w:color="auto"/>
              <w:right w:val="single" w:sz="8" w:space="0" w:color="auto"/>
            </w:tcBorders>
            <w:vAlign w:val="bottom"/>
          </w:tcPr>
          <w:p w14:paraId="6F72D9F3" w14:textId="13EDB44B"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162.7</w:t>
            </w:r>
          </w:p>
        </w:tc>
      </w:tr>
      <w:tr w:rsidR="3C6A40F0" w:rsidRPr="00090D0D" w14:paraId="1CCE154C" w14:textId="77777777" w:rsidTr="00BD5EC1">
        <w:trPr>
          <w:trHeight w:val="315"/>
        </w:trPr>
        <w:tc>
          <w:tcPr>
            <w:tcW w:w="1560" w:type="dxa"/>
            <w:tcBorders>
              <w:top w:val="single" w:sz="4" w:space="0" w:color="auto"/>
              <w:left w:val="single" w:sz="8" w:space="0" w:color="auto"/>
              <w:bottom w:val="single" w:sz="4" w:space="0" w:color="auto"/>
              <w:right w:val="single" w:sz="4" w:space="0" w:color="auto"/>
            </w:tcBorders>
            <w:vAlign w:val="bottom"/>
          </w:tcPr>
          <w:p w14:paraId="5E667C11" w14:textId="264B5945"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3</w:t>
            </w:r>
          </w:p>
        </w:tc>
        <w:tc>
          <w:tcPr>
            <w:tcW w:w="1950" w:type="dxa"/>
            <w:tcBorders>
              <w:top w:val="single" w:sz="4" w:space="0" w:color="auto"/>
              <w:left w:val="single" w:sz="4" w:space="0" w:color="auto"/>
              <w:bottom w:val="single" w:sz="4" w:space="0" w:color="auto"/>
              <w:right w:val="single" w:sz="4" w:space="0" w:color="auto"/>
            </w:tcBorders>
            <w:vAlign w:val="bottom"/>
          </w:tcPr>
          <w:p w14:paraId="17602EC3" w14:textId="0060BA42"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55.7</w:t>
            </w:r>
          </w:p>
        </w:tc>
        <w:tc>
          <w:tcPr>
            <w:tcW w:w="2070" w:type="dxa"/>
            <w:tcBorders>
              <w:top w:val="single" w:sz="4" w:space="0" w:color="auto"/>
              <w:left w:val="single" w:sz="4" w:space="0" w:color="auto"/>
              <w:bottom w:val="single" w:sz="4" w:space="0" w:color="auto"/>
              <w:right w:val="single" w:sz="8" w:space="0" w:color="auto"/>
            </w:tcBorders>
            <w:vAlign w:val="bottom"/>
          </w:tcPr>
          <w:p w14:paraId="2F8C19AC" w14:textId="0F6FE207"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111.3</w:t>
            </w:r>
          </w:p>
        </w:tc>
      </w:tr>
      <w:tr w:rsidR="3C6A40F0" w:rsidRPr="00090D0D" w14:paraId="7F0D558B" w14:textId="77777777" w:rsidTr="00BD5EC1">
        <w:trPr>
          <w:trHeight w:val="480"/>
        </w:trPr>
        <w:tc>
          <w:tcPr>
            <w:tcW w:w="1560" w:type="dxa"/>
            <w:tcBorders>
              <w:top w:val="single" w:sz="4" w:space="0" w:color="auto"/>
              <w:left w:val="single" w:sz="8" w:space="0" w:color="auto"/>
              <w:bottom w:val="single" w:sz="4" w:space="0" w:color="auto"/>
              <w:right w:val="single" w:sz="4" w:space="0" w:color="auto"/>
            </w:tcBorders>
            <w:vAlign w:val="bottom"/>
          </w:tcPr>
          <w:p w14:paraId="2D9B26D3" w14:textId="20DDED49"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4</w:t>
            </w:r>
          </w:p>
        </w:tc>
        <w:tc>
          <w:tcPr>
            <w:tcW w:w="1950" w:type="dxa"/>
            <w:tcBorders>
              <w:top w:val="single" w:sz="4" w:space="0" w:color="auto"/>
              <w:left w:val="single" w:sz="4" w:space="0" w:color="auto"/>
              <w:bottom w:val="single" w:sz="4" w:space="0" w:color="auto"/>
              <w:right w:val="single" w:sz="4" w:space="0" w:color="auto"/>
            </w:tcBorders>
            <w:vAlign w:val="bottom"/>
          </w:tcPr>
          <w:p w14:paraId="09C0F61C" w14:textId="608C25DD"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-1.9</w:t>
            </w:r>
          </w:p>
        </w:tc>
        <w:tc>
          <w:tcPr>
            <w:tcW w:w="2070" w:type="dxa"/>
            <w:tcBorders>
              <w:top w:val="single" w:sz="4" w:space="0" w:color="auto"/>
              <w:left w:val="single" w:sz="4" w:space="0" w:color="auto"/>
              <w:bottom w:val="single" w:sz="4" w:space="0" w:color="auto"/>
              <w:right w:val="single" w:sz="8" w:space="0" w:color="auto"/>
            </w:tcBorders>
            <w:vAlign w:val="bottom"/>
          </w:tcPr>
          <w:p w14:paraId="12B958CE" w14:textId="24D70C18"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55.7</w:t>
            </w:r>
          </w:p>
        </w:tc>
      </w:tr>
      <w:tr w:rsidR="3C6A40F0" w:rsidRPr="00090D0D" w14:paraId="40F5D2BC" w14:textId="77777777" w:rsidTr="00BD5EC1">
        <w:trPr>
          <w:trHeight w:val="480"/>
        </w:trPr>
        <w:tc>
          <w:tcPr>
            <w:tcW w:w="1560" w:type="dxa"/>
            <w:tcBorders>
              <w:top w:val="single" w:sz="4" w:space="0" w:color="auto"/>
              <w:left w:val="single" w:sz="8" w:space="0" w:color="auto"/>
              <w:bottom w:val="single" w:sz="8" w:space="0" w:color="auto"/>
              <w:right w:val="single" w:sz="4" w:space="0" w:color="auto"/>
            </w:tcBorders>
            <w:vAlign w:val="bottom"/>
          </w:tcPr>
          <w:p w14:paraId="66C9B90C" w14:textId="3C3F507D"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5</w:t>
            </w:r>
          </w:p>
        </w:tc>
        <w:tc>
          <w:tcPr>
            <w:tcW w:w="1950" w:type="dxa"/>
            <w:tcBorders>
              <w:top w:val="single" w:sz="4" w:space="0" w:color="auto"/>
              <w:left w:val="single" w:sz="4" w:space="0" w:color="auto"/>
              <w:bottom w:val="single" w:sz="8" w:space="0" w:color="auto"/>
              <w:right w:val="single" w:sz="4" w:space="0" w:color="auto"/>
            </w:tcBorders>
            <w:vAlign w:val="bottom"/>
          </w:tcPr>
          <w:p w14:paraId="7368A88C" w14:textId="4F388AA4"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-107</w:t>
            </w:r>
          </w:p>
        </w:tc>
        <w:tc>
          <w:tcPr>
            <w:tcW w:w="2070" w:type="dxa"/>
            <w:tcBorders>
              <w:top w:val="single" w:sz="4" w:space="0" w:color="auto"/>
              <w:left w:val="single" w:sz="4" w:space="0" w:color="auto"/>
              <w:bottom w:val="single" w:sz="8" w:space="0" w:color="auto"/>
              <w:right w:val="single" w:sz="8" w:space="0" w:color="auto"/>
            </w:tcBorders>
            <w:vAlign w:val="bottom"/>
          </w:tcPr>
          <w:p w14:paraId="09DEA341" w14:textId="31D68BB5"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-1.9</w:t>
            </w:r>
          </w:p>
        </w:tc>
      </w:tr>
      <w:tr w:rsidR="3C6A40F0" w:rsidRPr="00090D0D" w14:paraId="7C021475" w14:textId="77777777" w:rsidTr="00BD5EC1">
        <w:trPr>
          <w:trHeight w:val="480"/>
        </w:trPr>
        <w:tc>
          <w:tcPr>
            <w:tcW w:w="1560" w:type="dxa"/>
            <w:tcBorders>
              <w:top w:val="single" w:sz="8" w:space="0" w:color="auto"/>
              <w:left w:val="single" w:sz="8" w:space="0" w:color="auto"/>
              <w:bottom w:val="single" w:sz="8" w:space="0" w:color="auto"/>
              <w:right w:val="single" w:sz="8" w:space="0" w:color="auto"/>
            </w:tcBorders>
            <w:vAlign w:val="bottom"/>
          </w:tcPr>
          <w:p w14:paraId="54F4CE7B" w14:textId="1AC464B6" w:rsidR="3C6A40F0" w:rsidRPr="00090D0D" w:rsidRDefault="3C6A40F0" w:rsidP="3C6A40F0">
            <w:pPr>
              <w:rPr>
                <w:rFonts w:ascii="Garamond" w:eastAsia="Garamond" w:hAnsi="Garamond" w:cs="Garamond"/>
                <w:color w:val="000000" w:themeColor="text1"/>
              </w:rPr>
            </w:pPr>
            <w:r w:rsidRPr="00090D0D">
              <w:rPr>
                <w:rFonts w:ascii="Garamond" w:eastAsia="Garamond" w:hAnsi="Garamond" w:cs="Garamond"/>
                <w:color w:val="000000" w:themeColor="text1"/>
              </w:rPr>
              <w:t>LST Ranks</w:t>
            </w:r>
          </w:p>
        </w:tc>
        <w:tc>
          <w:tcPr>
            <w:tcW w:w="1950" w:type="dxa"/>
            <w:tcBorders>
              <w:top w:val="single" w:sz="8" w:space="0" w:color="auto"/>
              <w:left w:val="single" w:sz="8" w:space="0" w:color="auto"/>
              <w:bottom w:val="single" w:sz="8" w:space="0" w:color="auto"/>
              <w:right w:val="single" w:sz="8" w:space="0" w:color="auto"/>
            </w:tcBorders>
            <w:vAlign w:val="bottom"/>
          </w:tcPr>
          <w:p w14:paraId="565F8ED3" w14:textId="32AF0066" w:rsidR="3C6A40F0" w:rsidRPr="00090D0D" w:rsidRDefault="3C6A40F0" w:rsidP="3C6A40F0">
            <w:pPr>
              <w:rPr>
                <w:rFonts w:ascii="Garamond" w:eastAsia="Garamond" w:hAnsi="Garamond" w:cs="Garamond"/>
                <w:color w:val="000000" w:themeColor="text1"/>
              </w:rPr>
            </w:pPr>
            <w:r w:rsidRPr="00090D0D">
              <w:rPr>
                <w:rFonts w:ascii="Garamond" w:eastAsia="Garamond" w:hAnsi="Garamond" w:cs="Garamond"/>
                <w:color w:val="000000" w:themeColor="text1"/>
              </w:rPr>
              <w:t xml:space="preserve">Lower </w:t>
            </w:r>
            <w:r w:rsidR="00645243">
              <w:rPr>
                <w:rFonts w:ascii="Garamond" w:eastAsia="Garamond" w:hAnsi="Garamond" w:cs="Garamond"/>
                <w:color w:val="000000" w:themeColor="text1"/>
              </w:rPr>
              <w:t>LST (</w:t>
            </w:r>
            <w:r w:rsidRPr="00090D0D">
              <w:rPr>
                <w:rFonts w:ascii="Garamond" w:eastAsia="Garamond" w:hAnsi="Garamond" w:cs="Garamond"/>
                <w:color w:val="000000" w:themeColor="text1"/>
              </w:rPr>
              <w:t>°C</w:t>
            </w:r>
            <w:r w:rsidR="00645243">
              <w:rPr>
                <w:rFonts w:ascii="Garamond" w:eastAsia="Garamond" w:hAnsi="Garamond" w:cs="Garamond"/>
                <w:color w:val="000000" w:themeColor="text1"/>
              </w:rPr>
              <w:t>)</w:t>
            </w:r>
          </w:p>
        </w:tc>
        <w:tc>
          <w:tcPr>
            <w:tcW w:w="2070" w:type="dxa"/>
            <w:tcBorders>
              <w:top w:val="single" w:sz="8" w:space="0" w:color="auto"/>
              <w:left w:val="single" w:sz="8" w:space="0" w:color="auto"/>
              <w:bottom w:val="single" w:sz="8" w:space="0" w:color="auto"/>
              <w:right w:val="single" w:sz="8" w:space="0" w:color="auto"/>
            </w:tcBorders>
            <w:vAlign w:val="bottom"/>
          </w:tcPr>
          <w:p w14:paraId="13505643" w14:textId="315DDD36" w:rsidR="3C6A40F0" w:rsidRPr="00090D0D" w:rsidRDefault="3C6A40F0" w:rsidP="3C6A40F0">
            <w:pPr>
              <w:rPr>
                <w:rFonts w:ascii="Garamond" w:eastAsia="Garamond" w:hAnsi="Garamond" w:cs="Garamond"/>
                <w:color w:val="000000" w:themeColor="text1"/>
              </w:rPr>
            </w:pPr>
            <w:r w:rsidRPr="00090D0D">
              <w:rPr>
                <w:rFonts w:ascii="Garamond" w:eastAsia="Garamond" w:hAnsi="Garamond" w:cs="Garamond"/>
                <w:color w:val="000000" w:themeColor="text1"/>
              </w:rPr>
              <w:t>Upper</w:t>
            </w:r>
            <w:r w:rsidR="00645243">
              <w:rPr>
                <w:rFonts w:ascii="Garamond" w:eastAsia="Garamond" w:hAnsi="Garamond" w:cs="Garamond"/>
                <w:color w:val="000000" w:themeColor="text1"/>
              </w:rPr>
              <w:t xml:space="preserve"> LST</w:t>
            </w:r>
            <w:r w:rsidRPr="00090D0D">
              <w:rPr>
                <w:rFonts w:ascii="Garamond" w:eastAsia="Garamond" w:hAnsi="Garamond" w:cs="Garamond"/>
                <w:color w:val="000000" w:themeColor="text1"/>
              </w:rPr>
              <w:t xml:space="preserve"> </w:t>
            </w:r>
            <w:r w:rsidR="00645243">
              <w:rPr>
                <w:rFonts w:ascii="Garamond" w:eastAsia="Garamond" w:hAnsi="Garamond" w:cs="Garamond"/>
                <w:color w:val="000000" w:themeColor="text1"/>
              </w:rPr>
              <w:t>(</w:t>
            </w:r>
            <w:r w:rsidRPr="00090D0D">
              <w:rPr>
                <w:rFonts w:ascii="Garamond" w:eastAsia="Garamond" w:hAnsi="Garamond" w:cs="Garamond"/>
                <w:color w:val="000000" w:themeColor="text1"/>
              </w:rPr>
              <w:t>°C</w:t>
            </w:r>
            <w:r w:rsidR="00645243">
              <w:rPr>
                <w:rFonts w:ascii="Garamond" w:eastAsia="Garamond" w:hAnsi="Garamond" w:cs="Garamond"/>
                <w:color w:val="000000" w:themeColor="text1"/>
              </w:rPr>
              <w:t>)</w:t>
            </w:r>
          </w:p>
        </w:tc>
      </w:tr>
      <w:tr w:rsidR="3C6A40F0" w:rsidRPr="00090D0D" w14:paraId="54CE321F" w14:textId="77777777" w:rsidTr="00BD5EC1">
        <w:trPr>
          <w:trHeight w:val="480"/>
        </w:trPr>
        <w:tc>
          <w:tcPr>
            <w:tcW w:w="1560" w:type="dxa"/>
            <w:tcBorders>
              <w:top w:val="single" w:sz="8" w:space="0" w:color="auto"/>
              <w:left w:val="single" w:sz="8" w:space="0" w:color="auto"/>
              <w:bottom w:val="single" w:sz="4" w:space="0" w:color="auto"/>
              <w:right w:val="single" w:sz="4" w:space="0" w:color="auto"/>
            </w:tcBorders>
            <w:vAlign w:val="bottom"/>
          </w:tcPr>
          <w:p w14:paraId="691F088D" w14:textId="78CEFF9E"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1</w:t>
            </w:r>
          </w:p>
        </w:tc>
        <w:tc>
          <w:tcPr>
            <w:tcW w:w="1950" w:type="dxa"/>
            <w:tcBorders>
              <w:top w:val="single" w:sz="8" w:space="0" w:color="auto"/>
              <w:left w:val="single" w:sz="4" w:space="0" w:color="auto"/>
              <w:bottom w:val="single" w:sz="4" w:space="0" w:color="auto"/>
              <w:right w:val="single" w:sz="4" w:space="0" w:color="auto"/>
            </w:tcBorders>
            <w:vAlign w:val="bottom"/>
          </w:tcPr>
          <w:p w14:paraId="15175E60" w14:textId="6A05C817"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-14</w:t>
            </w:r>
          </w:p>
        </w:tc>
        <w:tc>
          <w:tcPr>
            <w:tcW w:w="2070" w:type="dxa"/>
            <w:tcBorders>
              <w:top w:val="single" w:sz="8" w:space="0" w:color="auto"/>
              <w:left w:val="single" w:sz="4" w:space="0" w:color="auto"/>
              <w:bottom w:val="single" w:sz="4" w:space="0" w:color="auto"/>
              <w:right w:val="single" w:sz="8" w:space="0" w:color="auto"/>
            </w:tcBorders>
            <w:vAlign w:val="bottom"/>
          </w:tcPr>
          <w:p w14:paraId="1E90A597" w14:textId="2D7BE4D4"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0.5</w:t>
            </w:r>
          </w:p>
        </w:tc>
      </w:tr>
      <w:tr w:rsidR="3C6A40F0" w:rsidRPr="00090D0D" w14:paraId="1D592C38" w14:textId="77777777" w:rsidTr="00BD5EC1">
        <w:trPr>
          <w:trHeight w:val="480"/>
        </w:trPr>
        <w:tc>
          <w:tcPr>
            <w:tcW w:w="1560" w:type="dxa"/>
            <w:tcBorders>
              <w:top w:val="single" w:sz="4" w:space="0" w:color="auto"/>
              <w:left w:val="single" w:sz="8" w:space="0" w:color="auto"/>
              <w:bottom w:val="single" w:sz="4" w:space="0" w:color="auto"/>
              <w:right w:val="single" w:sz="4" w:space="0" w:color="auto"/>
            </w:tcBorders>
            <w:vAlign w:val="bottom"/>
          </w:tcPr>
          <w:p w14:paraId="6142779B" w14:textId="1AD28308"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2</w:t>
            </w:r>
          </w:p>
        </w:tc>
        <w:tc>
          <w:tcPr>
            <w:tcW w:w="1950" w:type="dxa"/>
            <w:tcBorders>
              <w:top w:val="single" w:sz="4" w:space="0" w:color="auto"/>
              <w:left w:val="single" w:sz="4" w:space="0" w:color="auto"/>
              <w:bottom w:val="single" w:sz="4" w:space="0" w:color="auto"/>
              <w:right w:val="single" w:sz="4" w:space="0" w:color="auto"/>
            </w:tcBorders>
            <w:vAlign w:val="bottom"/>
          </w:tcPr>
          <w:p w14:paraId="1880601E" w14:textId="3FE10BD3"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0.5</w:t>
            </w:r>
          </w:p>
        </w:tc>
        <w:tc>
          <w:tcPr>
            <w:tcW w:w="2070" w:type="dxa"/>
            <w:tcBorders>
              <w:top w:val="single" w:sz="4" w:space="0" w:color="auto"/>
              <w:left w:val="single" w:sz="4" w:space="0" w:color="auto"/>
              <w:bottom w:val="single" w:sz="4" w:space="0" w:color="auto"/>
              <w:right w:val="single" w:sz="8" w:space="0" w:color="auto"/>
            </w:tcBorders>
            <w:vAlign w:val="bottom"/>
          </w:tcPr>
          <w:p w14:paraId="742D7B5A" w14:textId="32C6A216"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13</w:t>
            </w:r>
          </w:p>
        </w:tc>
      </w:tr>
      <w:tr w:rsidR="3C6A40F0" w:rsidRPr="00090D0D" w14:paraId="38512EA0" w14:textId="77777777" w:rsidTr="00BD5EC1">
        <w:trPr>
          <w:trHeight w:val="480"/>
        </w:trPr>
        <w:tc>
          <w:tcPr>
            <w:tcW w:w="1560" w:type="dxa"/>
            <w:tcBorders>
              <w:top w:val="single" w:sz="4" w:space="0" w:color="auto"/>
              <w:left w:val="single" w:sz="8" w:space="0" w:color="auto"/>
              <w:bottom w:val="single" w:sz="4" w:space="0" w:color="auto"/>
              <w:right w:val="single" w:sz="4" w:space="0" w:color="auto"/>
            </w:tcBorders>
            <w:vAlign w:val="bottom"/>
          </w:tcPr>
          <w:p w14:paraId="30C904D8" w14:textId="724A7BD2"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3</w:t>
            </w:r>
          </w:p>
        </w:tc>
        <w:tc>
          <w:tcPr>
            <w:tcW w:w="1950" w:type="dxa"/>
            <w:tcBorders>
              <w:top w:val="single" w:sz="4" w:space="0" w:color="auto"/>
              <w:left w:val="single" w:sz="4" w:space="0" w:color="auto"/>
              <w:bottom w:val="single" w:sz="4" w:space="0" w:color="auto"/>
              <w:right w:val="single" w:sz="4" w:space="0" w:color="auto"/>
            </w:tcBorders>
            <w:vAlign w:val="bottom"/>
          </w:tcPr>
          <w:p w14:paraId="7F19E15C" w14:textId="43689362"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13</w:t>
            </w:r>
          </w:p>
        </w:tc>
        <w:tc>
          <w:tcPr>
            <w:tcW w:w="2070" w:type="dxa"/>
            <w:tcBorders>
              <w:top w:val="single" w:sz="4" w:space="0" w:color="auto"/>
              <w:left w:val="single" w:sz="4" w:space="0" w:color="auto"/>
              <w:bottom w:val="single" w:sz="4" w:space="0" w:color="auto"/>
              <w:right w:val="single" w:sz="8" w:space="0" w:color="auto"/>
            </w:tcBorders>
            <w:vAlign w:val="bottom"/>
          </w:tcPr>
          <w:p w14:paraId="2B4A1E29" w14:textId="6ADB6517"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25.5</w:t>
            </w:r>
          </w:p>
        </w:tc>
      </w:tr>
      <w:tr w:rsidR="3C6A40F0" w:rsidRPr="00090D0D" w14:paraId="0EC4A618" w14:textId="77777777" w:rsidTr="00BD5EC1">
        <w:trPr>
          <w:trHeight w:val="480"/>
        </w:trPr>
        <w:tc>
          <w:tcPr>
            <w:tcW w:w="1560" w:type="dxa"/>
            <w:tcBorders>
              <w:top w:val="single" w:sz="4" w:space="0" w:color="auto"/>
              <w:left w:val="single" w:sz="8" w:space="0" w:color="auto"/>
              <w:bottom w:val="single" w:sz="4" w:space="0" w:color="auto"/>
              <w:right w:val="single" w:sz="4" w:space="0" w:color="auto"/>
            </w:tcBorders>
            <w:vAlign w:val="bottom"/>
          </w:tcPr>
          <w:p w14:paraId="128977AA" w14:textId="301098C9"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4</w:t>
            </w:r>
          </w:p>
        </w:tc>
        <w:tc>
          <w:tcPr>
            <w:tcW w:w="1950" w:type="dxa"/>
            <w:tcBorders>
              <w:top w:val="single" w:sz="4" w:space="0" w:color="auto"/>
              <w:left w:val="single" w:sz="4" w:space="0" w:color="auto"/>
              <w:bottom w:val="single" w:sz="4" w:space="0" w:color="auto"/>
              <w:right w:val="single" w:sz="4" w:space="0" w:color="auto"/>
            </w:tcBorders>
            <w:vAlign w:val="bottom"/>
          </w:tcPr>
          <w:p w14:paraId="696D1AD9" w14:textId="14A74E63"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25.5</w:t>
            </w:r>
          </w:p>
        </w:tc>
        <w:tc>
          <w:tcPr>
            <w:tcW w:w="2070" w:type="dxa"/>
            <w:tcBorders>
              <w:top w:val="single" w:sz="4" w:space="0" w:color="auto"/>
              <w:left w:val="single" w:sz="4" w:space="0" w:color="auto"/>
              <w:bottom w:val="single" w:sz="4" w:space="0" w:color="auto"/>
              <w:right w:val="single" w:sz="8" w:space="0" w:color="auto"/>
            </w:tcBorders>
            <w:vAlign w:val="bottom"/>
          </w:tcPr>
          <w:p w14:paraId="796B5A5C" w14:textId="2CB2DE39"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38</w:t>
            </w:r>
          </w:p>
        </w:tc>
      </w:tr>
      <w:tr w:rsidR="3C6A40F0" w:rsidRPr="00090D0D" w14:paraId="26D9ACF8" w14:textId="77777777" w:rsidTr="00BD5EC1">
        <w:trPr>
          <w:trHeight w:val="480"/>
        </w:trPr>
        <w:tc>
          <w:tcPr>
            <w:tcW w:w="1560" w:type="dxa"/>
            <w:tcBorders>
              <w:top w:val="single" w:sz="4" w:space="0" w:color="auto"/>
              <w:left w:val="single" w:sz="8" w:space="0" w:color="auto"/>
              <w:bottom w:val="single" w:sz="8" w:space="0" w:color="auto"/>
              <w:right w:val="single" w:sz="4" w:space="0" w:color="auto"/>
            </w:tcBorders>
            <w:vAlign w:val="bottom"/>
          </w:tcPr>
          <w:p w14:paraId="0BC48560" w14:textId="483798C4"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5</w:t>
            </w:r>
          </w:p>
        </w:tc>
        <w:tc>
          <w:tcPr>
            <w:tcW w:w="1950" w:type="dxa"/>
            <w:tcBorders>
              <w:top w:val="single" w:sz="4" w:space="0" w:color="auto"/>
              <w:left w:val="single" w:sz="4" w:space="0" w:color="auto"/>
              <w:bottom w:val="single" w:sz="8" w:space="0" w:color="auto"/>
              <w:right w:val="single" w:sz="4" w:space="0" w:color="auto"/>
            </w:tcBorders>
            <w:vAlign w:val="bottom"/>
          </w:tcPr>
          <w:p w14:paraId="7567510F" w14:textId="06D69AD5"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38</w:t>
            </w:r>
          </w:p>
        </w:tc>
        <w:tc>
          <w:tcPr>
            <w:tcW w:w="2070" w:type="dxa"/>
            <w:tcBorders>
              <w:top w:val="single" w:sz="4" w:space="0" w:color="auto"/>
              <w:left w:val="single" w:sz="4" w:space="0" w:color="auto"/>
              <w:bottom w:val="single" w:sz="8" w:space="0" w:color="auto"/>
              <w:right w:val="single" w:sz="8" w:space="0" w:color="auto"/>
            </w:tcBorders>
            <w:vAlign w:val="bottom"/>
          </w:tcPr>
          <w:p w14:paraId="1DF4899F" w14:textId="6745EAA3" w:rsidR="3C6A40F0" w:rsidRPr="00090D0D" w:rsidRDefault="3C6A40F0" w:rsidP="3C6A40F0">
            <w:pPr>
              <w:jc w:val="right"/>
              <w:rPr>
                <w:rFonts w:ascii="Garamond" w:eastAsia="Garamond" w:hAnsi="Garamond" w:cs="Garamond"/>
                <w:color w:val="000000" w:themeColor="text1"/>
              </w:rPr>
            </w:pPr>
            <w:r w:rsidRPr="00090D0D">
              <w:rPr>
                <w:rFonts w:ascii="Garamond" w:eastAsia="Garamond" w:hAnsi="Garamond" w:cs="Garamond"/>
                <w:color w:val="000000" w:themeColor="text1"/>
              </w:rPr>
              <w:t>50.6</w:t>
            </w:r>
          </w:p>
        </w:tc>
      </w:tr>
    </w:tbl>
    <w:p w14:paraId="3AC385BD" w14:textId="351B63CF" w:rsidR="094F0F4F" w:rsidRPr="00090D0D" w:rsidRDefault="094F0F4F" w:rsidP="3C6A40F0">
      <w:pPr>
        <w:spacing w:after="0" w:line="240" w:lineRule="auto"/>
        <w:rPr>
          <w:rFonts w:ascii="Garamond" w:eastAsia="Garamond" w:hAnsi="Garamond" w:cs="Garamond"/>
          <w:highlight w:val="yellow"/>
        </w:rPr>
      </w:pPr>
    </w:p>
    <w:p w14:paraId="0D94DB71" w14:textId="351B63CF" w:rsidR="1AB363D2" w:rsidRPr="00090D0D" w:rsidRDefault="1AB363D2" w:rsidP="1AB363D2">
      <w:pPr>
        <w:spacing w:after="0" w:line="240" w:lineRule="auto"/>
        <w:rPr>
          <w:rFonts w:ascii="Garamond" w:eastAsia="Garamond" w:hAnsi="Garamond" w:cs="Garamond"/>
          <w:highlight w:val="yellow"/>
        </w:rPr>
      </w:pPr>
    </w:p>
    <w:p w14:paraId="055A6F2E" w14:textId="4C80420A" w:rsidR="094F0F4F" w:rsidRPr="00090D0D" w:rsidRDefault="3C6A40F0" w:rsidP="3C6A40F0">
      <w:pPr>
        <w:spacing w:after="0" w:line="240" w:lineRule="auto"/>
        <w:rPr>
          <w:rFonts w:ascii="Garamond" w:eastAsia="Garamond" w:hAnsi="Garamond" w:cs="Garamond"/>
        </w:rPr>
      </w:pPr>
      <w:r w:rsidRPr="00090D0D">
        <w:rPr>
          <w:rFonts w:ascii="Garamond" w:hAnsi="Garamond"/>
          <w:noProof/>
        </w:rPr>
        <w:drawing>
          <wp:inline distT="0" distB="0" distL="0" distR="0" wp14:anchorId="2BB054F6" wp14:editId="404CBFE1">
            <wp:extent cx="4572000" cy="1876425"/>
            <wp:effectExtent l="0" t="0" r="0" b="0"/>
            <wp:docPr id="1845254729" name="Picture 184525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1876425"/>
                    </a:xfrm>
                    <a:prstGeom prst="rect">
                      <a:avLst/>
                    </a:prstGeom>
                  </pic:spPr>
                </pic:pic>
              </a:graphicData>
            </a:graphic>
          </wp:inline>
        </w:drawing>
      </w:r>
    </w:p>
    <w:p w14:paraId="40E35945" w14:textId="42BA194D" w:rsidR="094F0F4F" w:rsidRPr="00090D0D" w:rsidRDefault="3C6A40F0" w:rsidP="3C6A40F0">
      <w:pPr>
        <w:spacing w:after="0" w:line="240" w:lineRule="auto"/>
        <w:rPr>
          <w:rFonts w:ascii="Garamond" w:eastAsia="Garamond" w:hAnsi="Garamond" w:cs="Garamond"/>
        </w:rPr>
      </w:pPr>
      <w:r w:rsidRPr="00090D0D">
        <w:rPr>
          <w:rFonts w:ascii="Garamond" w:eastAsia="Garamond" w:hAnsi="Garamond" w:cs="Garamond"/>
          <w:i/>
          <w:iCs/>
        </w:rPr>
        <w:t xml:space="preserve">Figure 3. </w:t>
      </w:r>
      <w:r w:rsidRPr="00090D0D">
        <w:rPr>
          <w:rFonts w:ascii="Garamond" w:eastAsia="Garamond" w:hAnsi="Garamond" w:cs="Garamond"/>
        </w:rPr>
        <w:t>A schematic of cumulative risk rank calculation for fire season. The same methodology was also applied to off season and all seasons.</w:t>
      </w:r>
    </w:p>
    <w:p w14:paraId="69D3A6AD" w14:textId="0DE03149" w:rsidR="094F0F4F" w:rsidRPr="00090D0D" w:rsidRDefault="094F0F4F" w:rsidP="3C6A40F0">
      <w:pPr>
        <w:spacing w:after="0" w:line="240" w:lineRule="auto"/>
        <w:rPr>
          <w:rFonts w:ascii="Garamond" w:eastAsia="Garamond" w:hAnsi="Garamond" w:cs="Garamond"/>
        </w:rPr>
      </w:pPr>
    </w:p>
    <w:p w14:paraId="3228D9C6" w14:textId="3E912C9E" w:rsidR="67FF4B55" w:rsidRPr="00090D0D" w:rsidRDefault="112E6C8A" w:rsidP="3C6A40F0">
      <w:pPr>
        <w:pStyle w:val="Heading1"/>
        <w:spacing w:before="0" w:line="240" w:lineRule="auto"/>
        <w:rPr>
          <w:rFonts w:ascii="Garamond" w:eastAsia="Garamond" w:hAnsi="Garamond" w:cs="Garamond"/>
        </w:rPr>
      </w:pPr>
      <w:bookmarkStart w:id="3" w:name="_Toc334198730"/>
      <w:r w:rsidRPr="00090D0D">
        <w:rPr>
          <w:rFonts w:ascii="Garamond" w:eastAsia="Garamond" w:hAnsi="Garamond" w:cs="Garamond"/>
        </w:rPr>
        <w:t>4</w:t>
      </w:r>
      <w:r w:rsidR="0E5915C0" w:rsidRPr="00090D0D">
        <w:rPr>
          <w:rFonts w:ascii="Garamond" w:eastAsia="Garamond" w:hAnsi="Garamond" w:cs="Garamond"/>
        </w:rPr>
        <w:t xml:space="preserve">. </w:t>
      </w:r>
      <w:r w:rsidR="7DF772E6" w:rsidRPr="00090D0D">
        <w:rPr>
          <w:rFonts w:ascii="Garamond" w:eastAsia="Garamond" w:hAnsi="Garamond" w:cs="Garamond"/>
        </w:rPr>
        <w:t>Results</w:t>
      </w:r>
      <w:bookmarkEnd w:id="3"/>
      <w:r w:rsidR="095C1BEE" w:rsidRPr="00090D0D">
        <w:rPr>
          <w:rFonts w:ascii="Garamond" w:eastAsia="Garamond" w:hAnsi="Garamond" w:cs="Garamond"/>
        </w:rPr>
        <w:t xml:space="preserve"> &amp; Discussion</w:t>
      </w:r>
    </w:p>
    <w:p w14:paraId="4E0F9688" w14:textId="219D013E" w:rsidR="001E72E8" w:rsidRDefault="3C6A40F0" w:rsidP="3C6A40F0">
      <w:pPr>
        <w:spacing w:after="0" w:line="240" w:lineRule="auto"/>
        <w:rPr>
          <w:rFonts w:ascii="Garamond" w:eastAsia="Garamond" w:hAnsi="Garamond" w:cs="Garamond"/>
        </w:rPr>
      </w:pPr>
      <w:r w:rsidRPr="00090D0D">
        <w:rPr>
          <w:rFonts w:ascii="Garamond" w:eastAsia="Garamond" w:hAnsi="Garamond" w:cs="Garamond"/>
        </w:rPr>
        <w:t xml:space="preserve">The results showed a high frequency of lightning strikes (Figure 4), VIIRS thermal anomaly </w:t>
      </w:r>
      <w:r w:rsidR="00E9302D">
        <w:rPr>
          <w:rFonts w:ascii="Garamond" w:eastAsia="Garamond" w:hAnsi="Garamond" w:cs="Garamond"/>
        </w:rPr>
        <w:t xml:space="preserve">(fire points) </w:t>
      </w:r>
      <w:r w:rsidRPr="00090D0D">
        <w:rPr>
          <w:rFonts w:ascii="Garamond" w:eastAsia="Garamond" w:hAnsi="Garamond" w:cs="Garamond"/>
        </w:rPr>
        <w:t xml:space="preserve">frequencies (Figure 5), and spatiotemporally filtered VIIRS </w:t>
      </w:r>
      <w:r w:rsidR="00D31ADE">
        <w:rPr>
          <w:rFonts w:ascii="Garamond" w:eastAsia="Garamond" w:hAnsi="Garamond" w:cs="Garamond"/>
        </w:rPr>
        <w:t>thermal anomaly (</w:t>
      </w:r>
      <w:r w:rsidRPr="00090D0D">
        <w:rPr>
          <w:rFonts w:ascii="Garamond" w:eastAsia="Garamond" w:hAnsi="Garamond" w:cs="Garamond"/>
        </w:rPr>
        <w:t>fire points</w:t>
      </w:r>
      <w:r w:rsidR="00D31ADE">
        <w:rPr>
          <w:rFonts w:ascii="Garamond" w:eastAsia="Garamond" w:hAnsi="Garamond" w:cs="Garamond"/>
        </w:rPr>
        <w:t>)</w:t>
      </w:r>
      <w:r w:rsidRPr="00090D0D">
        <w:rPr>
          <w:rFonts w:ascii="Garamond" w:eastAsia="Garamond" w:hAnsi="Garamond" w:cs="Garamond"/>
        </w:rPr>
        <w:t xml:space="preserve"> (Figure 6) along the Andean front. However, thermal anomalies (Figure </w:t>
      </w:r>
      <w:r w:rsidR="00E67A4B">
        <w:rPr>
          <w:rFonts w:ascii="Garamond" w:eastAsia="Garamond" w:hAnsi="Garamond" w:cs="Garamond"/>
        </w:rPr>
        <w:t>5</w:t>
      </w:r>
      <w:r w:rsidRPr="00090D0D">
        <w:rPr>
          <w:rFonts w:ascii="Garamond" w:eastAsia="Garamond" w:hAnsi="Garamond" w:cs="Garamond"/>
        </w:rPr>
        <w:t>) and filtered thermal anomalies (Figure 6) were also prevalent in the south-central zone of the study area, where lightning strikes were not quite as frequent (Figure 4).</w:t>
      </w:r>
    </w:p>
    <w:p w14:paraId="1C47B916" w14:textId="2F0AD80F" w:rsidR="67FF4B55" w:rsidRPr="00090D0D" w:rsidRDefault="3C6A40F0" w:rsidP="3C6A40F0">
      <w:pPr>
        <w:spacing w:after="0" w:line="240" w:lineRule="auto"/>
        <w:rPr>
          <w:rFonts w:ascii="Garamond" w:eastAsia="Garamond" w:hAnsi="Garamond" w:cs="Garamond"/>
        </w:rPr>
      </w:pPr>
      <w:r w:rsidRPr="00090D0D">
        <w:rPr>
          <w:rFonts w:ascii="Garamond" w:hAnsi="Garamond"/>
          <w:noProof/>
        </w:rPr>
        <w:lastRenderedPageBreak/>
        <w:drawing>
          <wp:inline distT="0" distB="0" distL="0" distR="0" wp14:anchorId="40B9FD32" wp14:editId="06FADA15">
            <wp:extent cx="4800600" cy="2962275"/>
            <wp:effectExtent l="0" t="0" r="0" b="0"/>
            <wp:docPr id="857268507" name="Picture 85726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00600" cy="2962275"/>
                    </a:xfrm>
                    <a:prstGeom prst="rect">
                      <a:avLst/>
                    </a:prstGeom>
                  </pic:spPr>
                </pic:pic>
              </a:graphicData>
            </a:graphic>
          </wp:inline>
        </w:drawing>
      </w:r>
    </w:p>
    <w:p w14:paraId="6C2C8531" w14:textId="2CAD613A" w:rsidR="67FF4B55" w:rsidRPr="00090D0D" w:rsidRDefault="3C6A40F0" w:rsidP="3C6A40F0">
      <w:pPr>
        <w:spacing w:after="0" w:line="240" w:lineRule="auto"/>
        <w:rPr>
          <w:rFonts w:ascii="Garamond" w:eastAsia="Garamond" w:hAnsi="Garamond" w:cs="Garamond"/>
        </w:rPr>
      </w:pPr>
      <w:r w:rsidRPr="00090D0D">
        <w:rPr>
          <w:rFonts w:ascii="Garamond" w:eastAsia="Garamond" w:hAnsi="Garamond" w:cs="Garamond"/>
          <w:i/>
          <w:iCs/>
        </w:rPr>
        <w:t xml:space="preserve">Figure 4. </w:t>
      </w:r>
      <w:r w:rsidRPr="00090D0D">
        <w:rPr>
          <w:rFonts w:ascii="Garamond" w:eastAsia="Garamond" w:hAnsi="Garamond" w:cs="Garamond"/>
        </w:rPr>
        <w:t>Average lightning frequency per month across Central Chile for all seasons, fire season, and off season at an 8km-by-8km resolution. Data were standardized to the average lightning strike frequency per month to enable comparison among seasons. Data were masked by fuel presence.</w:t>
      </w:r>
    </w:p>
    <w:p w14:paraId="5E66C78A" w14:textId="074EC74F" w:rsidR="67FF4B55" w:rsidRPr="00090D0D" w:rsidRDefault="67FF4B55" w:rsidP="3C6A40F0">
      <w:pPr>
        <w:spacing w:after="0" w:line="240" w:lineRule="auto"/>
        <w:rPr>
          <w:rFonts w:ascii="Garamond" w:eastAsia="Garamond" w:hAnsi="Garamond" w:cs="Garamond"/>
        </w:rPr>
      </w:pPr>
    </w:p>
    <w:p w14:paraId="38C7A2EE" w14:textId="0981EB96" w:rsidR="67FF4B55" w:rsidRPr="00090D0D" w:rsidRDefault="3C6A40F0" w:rsidP="3C6A40F0">
      <w:pPr>
        <w:spacing w:after="0" w:line="240" w:lineRule="auto"/>
        <w:rPr>
          <w:rFonts w:ascii="Garamond" w:eastAsia="Garamond" w:hAnsi="Garamond" w:cs="Garamond"/>
        </w:rPr>
      </w:pPr>
      <w:r w:rsidRPr="00090D0D">
        <w:rPr>
          <w:rFonts w:ascii="Garamond" w:hAnsi="Garamond"/>
        </w:rPr>
        <w:t xml:space="preserve">   </w:t>
      </w:r>
      <w:r w:rsidRPr="00090D0D">
        <w:rPr>
          <w:rFonts w:ascii="Garamond" w:hAnsi="Garamond"/>
          <w:noProof/>
        </w:rPr>
        <w:drawing>
          <wp:inline distT="0" distB="0" distL="0" distR="0" wp14:anchorId="44BAFD07" wp14:editId="1B94311D">
            <wp:extent cx="4572000" cy="2857500"/>
            <wp:effectExtent l="0" t="0" r="0" b="0"/>
            <wp:docPr id="1235013930" name="Picture 123501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2857500"/>
                    </a:xfrm>
                    <a:prstGeom prst="rect">
                      <a:avLst/>
                    </a:prstGeom>
                  </pic:spPr>
                </pic:pic>
              </a:graphicData>
            </a:graphic>
          </wp:inline>
        </w:drawing>
      </w:r>
    </w:p>
    <w:p w14:paraId="57C6CF42" w14:textId="73ACFA2A" w:rsidR="67FF4B55" w:rsidRPr="00090D0D" w:rsidRDefault="3C6A40F0" w:rsidP="3C6A40F0">
      <w:pPr>
        <w:spacing w:after="0" w:line="240" w:lineRule="auto"/>
        <w:rPr>
          <w:rFonts w:ascii="Garamond" w:eastAsia="Garamond" w:hAnsi="Garamond" w:cs="Garamond"/>
        </w:rPr>
      </w:pPr>
      <w:r w:rsidRPr="00090D0D">
        <w:rPr>
          <w:rFonts w:ascii="Garamond" w:eastAsia="Garamond" w:hAnsi="Garamond" w:cs="Garamond"/>
          <w:i/>
          <w:iCs/>
        </w:rPr>
        <w:t xml:space="preserve">Figure 5. </w:t>
      </w:r>
      <w:r w:rsidRPr="00090D0D">
        <w:rPr>
          <w:rFonts w:ascii="Garamond" w:eastAsia="Garamond" w:hAnsi="Garamond" w:cs="Garamond"/>
        </w:rPr>
        <w:t>Average VIIRS thermal anomaly frequency per month across central Chile for all seasons, fire season, and off season at an 8km-by-8km resolution. Data were standardized to the average number of thermal anomalies per month to enable comparison among seasons.</w:t>
      </w:r>
    </w:p>
    <w:p w14:paraId="58C387F5" w14:textId="78273881" w:rsidR="67FF4B55" w:rsidRPr="00090D0D" w:rsidRDefault="67FF4B55" w:rsidP="3C6A40F0">
      <w:pPr>
        <w:spacing w:after="0" w:line="240" w:lineRule="auto"/>
        <w:rPr>
          <w:rFonts w:ascii="Garamond" w:eastAsia="Garamond" w:hAnsi="Garamond" w:cs="Garamond"/>
        </w:rPr>
      </w:pPr>
    </w:p>
    <w:p w14:paraId="00BF7E82" w14:textId="59D79D5D" w:rsidR="67FF4B55" w:rsidRPr="00090D0D" w:rsidRDefault="3C6A40F0" w:rsidP="3C6A40F0">
      <w:pPr>
        <w:spacing w:after="0" w:line="240" w:lineRule="auto"/>
        <w:rPr>
          <w:rFonts w:ascii="Garamond" w:eastAsia="Garamond" w:hAnsi="Garamond" w:cs="Garamond"/>
        </w:rPr>
      </w:pPr>
      <w:r w:rsidRPr="00090D0D">
        <w:rPr>
          <w:rFonts w:ascii="Garamond" w:hAnsi="Garamond"/>
          <w:noProof/>
        </w:rPr>
        <w:lastRenderedPageBreak/>
        <w:drawing>
          <wp:inline distT="0" distB="0" distL="0" distR="0" wp14:anchorId="03201054" wp14:editId="638606EA">
            <wp:extent cx="4791075" cy="2962275"/>
            <wp:effectExtent l="0" t="0" r="0" b="0"/>
            <wp:docPr id="988758975" name="Picture 988758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91075" cy="2962275"/>
                    </a:xfrm>
                    <a:prstGeom prst="rect">
                      <a:avLst/>
                    </a:prstGeom>
                  </pic:spPr>
                </pic:pic>
              </a:graphicData>
            </a:graphic>
          </wp:inline>
        </w:drawing>
      </w:r>
    </w:p>
    <w:p w14:paraId="18172105" w14:textId="53512433" w:rsidR="67FF4B55" w:rsidRPr="00090D0D" w:rsidRDefault="3C6A40F0" w:rsidP="3C6A40F0">
      <w:pPr>
        <w:spacing w:after="0" w:line="240" w:lineRule="auto"/>
        <w:rPr>
          <w:rFonts w:ascii="Garamond" w:eastAsia="Garamond" w:hAnsi="Garamond" w:cs="Garamond"/>
        </w:rPr>
      </w:pPr>
      <w:r w:rsidRPr="00090D0D">
        <w:rPr>
          <w:rFonts w:ascii="Garamond" w:eastAsia="Garamond" w:hAnsi="Garamond" w:cs="Garamond"/>
          <w:i/>
          <w:iCs/>
        </w:rPr>
        <w:t xml:space="preserve">Figure 6. </w:t>
      </w:r>
      <w:r w:rsidRPr="00090D0D">
        <w:rPr>
          <w:rFonts w:ascii="Garamond" w:eastAsia="Garamond" w:hAnsi="Garamond" w:cs="Garamond"/>
        </w:rPr>
        <w:t xml:space="preserve">VIIRS thermal anomalies that were coincidental with GLM detected lightning strikes. Thermal anomalies were considered coincidental if the lightning strike occurred within a 4km radius and 3 days of an anomaly. Data </w:t>
      </w:r>
      <w:bookmarkStart w:id="4" w:name="_Int_PfESFxVe"/>
      <w:r w:rsidRPr="00090D0D">
        <w:rPr>
          <w:rFonts w:ascii="Garamond" w:eastAsia="Garamond" w:hAnsi="Garamond" w:cs="Garamond"/>
        </w:rPr>
        <w:t>were</w:t>
      </w:r>
      <w:bookmarkEnd w:id="4"/>
      <w:r w:rsidRPr="00090D0D">
        <w:rPr>
          <w:rFonts w:ascii="Garamond" w:eastAsia="Garamond" w:hAnsi="Garamond" w:cs="Garamond"/>
        </w:rPr>
        <w:t xml:space="preserve"> masked by fuel presence.</w:t>
      </w:r>
    </w:p>
    <w:p w14:paraId="2A457B74" w14:textId="43FC43CA" w:rsidR="67FF4B55" w:rsidRPr="00090D0D" w:rsidRDefault="67FF4B55" w:rsidP="3C6A40F0">
      <w:pPr>
        <w:spacing w:after="0" w:line="240" w:lineRule="auto"/>
        <w:rPr>
          <w:rFonts w:ascii="Garamond" w:eastAsia="Garamond" w:hAnsi="Garamond" w:cs="Garamond"/>
        </w:rPr>
      </w:pPr>
    </w:p>
    <w:p w14:paraId="2162AD56" w14:textId="74CF6164" w:rsidR="67FF4B55" w:rsidRPr="00090D0D" w:rsidRDefault="3C6A40F0" w:rsidP="3C6A40F0">
      <w:pPr>
        <w:spacing w:after="0" w:line="240" w:lineRule="auto"/>
        <w:rPr>
          <w:rFonts w:ascii="Garamond" w:eastAsia="Garamond" w:hAnsi="Garamond" w:cs="Garamond"/>
        </w:rPr>
      </w:pPr>
      <w:r w:rsidRPr="00090D0D">
        <w:rPr>
          <w:rFonts w:ascii="Garamond" w:eastAsia="Garamond" w:hAnsi="Garamond" w:cs="Garamond"/>
        </w:rPr>
        <w:t>Lightning frequency (Figure 4) and risk ranks (Figure 7) were highest along the Andean Front, whereas LST (Figure 8) and NDMI (Figure 9) and their respective risk ranks (Figures 10 and 11</w:t>
      </w:r>
      <w:r w:rsidR="00E6515F">
        <w:rPr>
          <w:rFonts w:ascii="Garamond" w:eastAsia="Garamond" w:hAnsi="Garamond" w:cs="Garamond"/>
        </w:rPr>
        <w:t>; Table 2</w:t>
      </w:r>
      <w:r w:rsidRPr="00090D0D">
        <w:rPr>
          <w:rFonts w:ascii="Garamond" w:eastAsia="Garamond" w:hAnsi="Garamond" w:cs="Garamond"/>
        </w:rPr>
        <w:t>) were both highest in the northern third of the study area where it is known to be arid. All risk factors were greatest during the fire season. NDMI had the least amount of variation among seasons, only slightly increasing in risk from fire season to off season.</w:t>
      </w:r>
    </w:p>
    <w:p w14:paraId="47456B6A" w14:textId="5A15614A" w:rsidR="67FF4B55" w:rsidRPr="00090D0D" w:rsidRDefault="3C6A40F0" w:rsidP="3C6A40F0">
      <w:pPr>
        <w:spacing w:after="0" w:line="240" w:lineRule="auto"/>
        <w:rPr>
          <w:rFonts w:ascii="Garamond" w:eastAsia="Garamond" w:hAnsi="Garamond" w:cs="Garamond"/>
        </w:rPr>
      </w:pPr>
      <w:r w:rsidRPr="00090D0D">
        <w:rPr>
          <w:rFonts w:ascii="Garamond" w:hAnsi="Garamond"/>
          <w:noProof/>
        </w:rPr>
        <w:drawing>
          <wp:inline distT="0" distB="0" distL="0" distR="0" wp14:anchorId="60D75337" wp14:editId="5E87EBCC">
            <wp:extent cx="4572000" cy="2962275"/>
            <wp:effectExtent l="0" t="0" r="0" b="0"/>
            <wp:docPr id="1420799414" name="Picture 142079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2962275"/>
                    </a:xfrm>
                    <a:prstGeom prst="rect">
                      <a:avLst/>
                    </a:prstGeom>
                  </pic:spPr>
                </pic:pic>
              </a:graphicData>
            </a:graphic>
          </wp:inline>
        </w:drawing>
      </w:r>
    </w:p>
    <w:p w14:paraId="17120221" w14:textId="570C21F9" w:rsidR="67FF4B55" w:rsidRPr="00090D0D" w:rsidRDefault="3C6A40F0" w:rsidP="3C6A40F0">
      <w:pPr>
        <w:spacing w:after="0" w:line="240" w:lineRule="auto"/>
        <w:rPr>
          <w:rFonts w:ascii="Garamond" w:eastAsia="Garamond" w:hAnsi="Garamond" w:cs="Garamond"/>
        </w:rPr>
      </w:pPr>
      <w:r w:rsidRPr="00090D0D">
        <w:rPr>
          <w:rFonts w:ascii="Garamond" w:eastAsia="Garamond" w:hAnsi="Garamond" w:cs="Garamond"/>
          <w:i/>
          <w:iCs/>
        </w:rPr>
        <w:t xml:space="preserve">Figure 7. </w:t>
      </w:r>
      <w:r w:rsidRPr="00090D0D">
        <w:rPr>
          <w:rFonts w:ascii="Garamond" w:eastAsia="Garamond" w:hAnsi="Garamond" w:cs="Garamond"/>
        </w:rPr>
        <w:t>Lightning strike risk, derived from monthly strike frequency, for all seasons, fire season, and off season at an 8km-by-8km resolution.</w:t>
      </w:r>
    </w:p>
    <w:p w14:paraId="0BF21791" w14:textId="4F478DF4" w:rsidR="67FF4B55" w:rsidRPr="00090D0D" w:rsidRDefault="67FF4B55" w:rsidP="3C6A40F0">
      <w:pPr>
        <w:spacing w:after="0" w:line="240" w:lineRule="auto"/>
        <w:rPr>
          <w:rFonts w:ascii="Garamond" w:eastAsia="Garamond" w:hAnsi="Garamond" w:cs="Garamond"/>
        </w:rPr>
      </w:pPr>
    </w:p>
    <w:p w14:paraId="49A8F45A" w14:textId="6936655A" w:rsidR="67FF4B55" w:rsidRPr="00090D0D" w:rsidRDefault="3C6A40F0" w:rsidP="094F0F4F">
      <w:pPr>
        <w:spacing w:after="0" w:line="240" w:lineRule="auto"/>
        <w:rPr>
          <w:rFonts w:ascii="Garamond" w:hAnsi="Garamond"/>
        </w:rPr>
      </w:pPr>
      <w:r w:rsidRPr="00090D0D">
        <w:rPr>
          <w:rFonts w:ascii="Garamond" w:hAnsi="Garamond"/>
          <w:noProof/>
        </w:rPr>
        <w:lastRenderedPageBreak/>
        <w:drawing>
          <wp:inline distT="0" distB="0" distL="0" distR="0" wp14:anchorId="5F8253FA" wp14:editId="4EAA9BE5">
            <wp:extent cx="4572000" cy="2962275"/>
            <wp:effectExtent l="0" t="0" r="0" b="0"/>
            <wp:docPr id="1829522790" name="Picture 182952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2962275"/>
                    </a:xfrm>
                    <a:prstGeom prst="rect">
                      <a:avLst/>
                    </a:prstGeom>
                  </pic:spPr>
                </pic:pic>
              </a:graphicData>
            </a:graphic>
          </wp:inline>
        </w:drawing>
      </w:r>
    </w:p>
    <w:p w14:paraId="2184D4D2" w14:textId="2C755B19" w:rsidR="67FF4B55" w:rsidRPr="00090D0D" w:rsidRDefault="3C6A40F0" w:rsidP="09D39C65">
      <w:pPr>
        <w:spacing w:after="0" w:line="240" w:lineRule="auto"/>
        <w:rPr>
          <w:rFonts w:ascii="Garamond" w:eastAsia="Garamond" w:hAnsi="Garamond" w:cs="Garamond"/>
        </w:rPr>
      </w:pPr>
      <w:r w:rsidRPr="00090D0D">
        <w:rPr>
          <w:rFonts w:ascii="Garamond" w:eastAsia="Garamond" w:hAnsi="Garamond" w:cs="Garamond"/>
          <w:i/>
          <w:iCs/>
        </w:rPr>
        <w:t xml:space="preserve">Figure 8. </w:t>
      </w:r>
      <w:r w:rsidRPr="00090D0D">
        <w:rPr>
          <w:rFonts w:ascii="Garamond" w:eastAsia="Garamond" w:hAnsi="Garamond" w:cs="Garamond"/>
        </w:rPr>
        <w:t>Median LST, at a 1km spatial grain, in degrees Celsius for all seasons, fire season, and off season. Data were masked by fuel presence.</w:t>
      </w:r>
    </w:p>
    <w:p w14:paraId="0938612A" w14:textId="47A0D5CC" w:rsidR="67FF4B55" w:rsidRPr="00090D0D" w:rsidRDefault="67FF4B55" w:rsidP="3C6A40F0">
      <w:pPr>
        <w:spacing w:after="0" w:line="240" w:lineRule="auto"/>
        <w:rPr>
          <w:rFonts w:ascii="Garamond" w:eastAsia="Garamond" w:hAnsi="Garamond" w:cs="Garamond"/>
        </w:rPr>
      </w:pPr>
    </w:p>
    <w:p w14:paraId="3448916D" w14:textId="53B58AEB" w:rsidR="67FF4B55" w:rsidRPr="00090D0D" w:rsidRDefault="3C6A40F0" w:rsidP="094F0F4F">
      <w:pPr>
        <w:spacing w:after="0" w:line="240" w:lineRule="auto"/>
        <w:rPr>
          <w:rFonts w:ascii="Garamond" w:hAnsi="Garamond"/>
        </w:rPr>
      </w:pPr>
      <w:r w:rsidRPr="00090D0D">
        <w:rPr>
          <w:rFonts w:ascii="Garamond" w:hAnsi="Garamond"/>
          <w:noProof/>
        </w:rPr>
        <w:drawing>
          <wp:inline distT="0" distB="0" distL="0" distR="0" wp14:anchorId="44B12D3A" wp14:editId="4FD05563">
            <wp:extent cx="4572000" cy="2962275"/>
            <wp:effectExtent l="0" t="0" r="0" b="0"/>
            <wp:docPr id="180656192" name="Picture 18065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2962275"/>
                    </a:xfrm>
                    <a:prstGeom prst="rect">
                      <a:avLst/>
                    </a:prstGeom>
                  </pic:spPr>
                </pic:pic>
              </a:graphicData>
            </a:graphic>
          </wp:inline>
        </w:drawing>
      </w:r>
    </w:p>
    <w:p w14:paraId="76C25A13" w14:textId="1148F622" w:rsidR="67FF4B55" w:rsidRPr="00090D0D" w:rsidRDefault="3C6A40F0" w:rsidP="09D39C65">
      <w:pPr>
        <w:spacing w:after="0" w:line="240" w:lineRule="auto"/>
        <w:rPr>
          <w:rFonts w:ascii="Garamond" w:eastAsia="Garamond" w:hAnsi="Garamond" w:cs="Garamond"/>
        </w:rPr>
      </w:pPr>
      <w:r w:rsidRPr="00090D0D">
        <w:rPr>
          <w:rFonts w:ascii="Garamond" w:eastAsia="Garamond" w:hAnsi="Garamond" w:cs="Garamond"/>
          <w:i/>
          <w:iCs/>
        </w:rPr>
        <w:t>Figure 9.</w:t>
      </w:r>
      <w:r w:rsidRPr="00090D0D">
        <w:rPr>
          <w:rFonts w:ascii="Garamond" w:eastAsia="Garamond" w:hAnsi="Garamond" w:cs="Garamond"/>
        </w:rPr>
        <w:t xml:space="preserve"> Median NDMI, at a 30-meter spatial grain, in degrees Celsius for all seasons, fire season, and off season. Data were masked by fuel presence.</w:t>
      </w:r>
    </w:p>
    <w:p w14:paraId="744CBCCE" w14:textId="398AC4F5" w:rsidR="67FF4B55" w:rsidRPr="00090D0D" w:rsidRDefault="67FF4B55" w:rsidP="094F0F4F">
      <w:pPr>
        <w:spacing w:after="0" w:line="240" w:lineRule="auto"/>
        <w:rPr>
          <w:rFonts w:ascii="Garamond" w:hAnsi="Garamond"/>
        </w:rPr>
      </w:pPr>
    </w:p>
    <w:p w14:paraId="4364EA61" w14:textId="72EC29C6" w:rsidR="67FF4B55" w:rsidRPr="00090D0D" w:rsidRDefault="3C6A40F0" w:rsidP="3C6A40F0">
      <w:pPr>
        <w:spacing w:after="0" w:line="240" w:lineRule="auto"/>
        <w:rPr>
          <w:rFonts w:ascii="Garamond" w:eastAsia="Garamond" w:hAnsi="Garamond" w:cs="Garamond"/>
        </w:rPr>
      </w:pPr>
      <w:r w:rsidRPr="00090D0D">
        <w:rPr>
          <w:rFonts w:ascii="Garamond" w:hAnsi="Garamond"/>
          <w:noProof/>
        </w:rPr>
        <w:lastRenderedPageBreak/>
        <w:drawing>
          <wp:inline distT="0" distB="0" distL="0" distR="0" wp14:anchorId="69A754E2" wp14:editId="4396E8B0">
            <wp:extent cx="4572000" cy="2962275"/>
            <wp:effectExtent l="0" t="0" r="0" b="0"/>
            <wp:docPr id="253044844" name="Picture 25304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2962275"/>
                    </a:xfrm>
                    <a:prstGeom prst="rect">
                      <a:avLst/>
                    </a:prstGeom>
                  </pic:spPr>
                </pic:pic>
              </a:graphicData>
            </a:graphic>
          </wp:inline>
        </w:drawing>
      </w:r>
    </w:p>
    <w:p w14:paraId="2B1273AB" w14:textId="1A0E126F" w:rsidR="67FF4B55" w:rsidRPr="00090D0D" w:rsidRDefault="3C6A40F0" w:rsidP="09D39C65">
      <w:pPr>
        <w:spacing w:after="0" w:line="240" w:lineRule="auto"/>
        <w:rPr>
          <w:rFonts w:ascii="Garamond" w:eastAsia="Garamond" w:hAnsi="Garamond" w:cs="Garamond"/>
        </w:rPr>
      </w:pPr>
      <w:r w:rsidRPr="00090D0D">
        <w:rPr>
          <w:rFonts w:ascii="Garamond" w:eastAsia="Garamond" w:hAnsi="Garamond" w:cs="Garamond"/>
          <w:i/>
          <w:iCs/>
        </w:rPr>
        <w:t xml:space="preserve">Figure 10. </w:t>
      </w:r>
      <w:r w:rsidRPr="00090D0D">
        <w:rPr>
          <w:rFonts w:ascii="Garamond" w:eastAsia="Garamond" w:hAnsi="Garamond" w:cs="Garamond"/>
        </w:rPr>
        <w:t>LST risk, derived from VIIRS LST data, for all seasons, fire season, and off season at an 8km-by-8km resolution.</w:t>
      </w:r>
    </w:p>
    <w:p w14:paraId="4DF69299" w14:textId="69759FB8" w:rsidR="67FF4B55" w:rsidRPr="00090D0D" w:rsidRDefault="67FF4B55" w:rsidP="3C6A40F0">
      <w:pPr>
        <w:spacing w:after="0" w:line="240" w:lineRule="auto"/>
        <w:rPr>
          <w:rFonts w:ascii="Garamond" w:eastAsia="Garamond" w:hAnsi="Garamond" w:cs="Garamond"/>
        </w:rPr>
      </w:pPr>
    </w:p>
    <w:p w14:paraId="271D8748" w14:textId="5A45798D" w:rsidR="67FF4B55" w:rsidRPr="00090D0D" w:rsidRDefault="3C6A40F0" w:rsidP="3C6A40F0">
      <w:pPr>
        <w:spacing w:after="0" w:line="240" w:lineRule="auto"/>
        <w:rPr>
          <w:rFonts w:ascii="Garamond" w:eastAsia="Garamond" w:hAnsi="Garamond" w:cs="Garamond"/>
        </w:rPr>
      </w:pPr>
      <w:r w:rsidRPr="00090D0D">
        <w:rPr>
          <w:rFonts w:ascii="Garamond" w:hAnsi="Garamond"/>
          <w:noProof/>
        </w:rPr>
        <w:drawing>
          <wp:inline distT="0" distB="0" distL="0" distR="0" wp14:anchorId="5C11D9EB" wp14:editId="50B0E41C">
            <wp:extent cx="4572000" cy="2962275"/>
            <wp:effectExtent l="0" t="0" r="0" b="0"/>
            <wp:docPr id="1695096021" name="Picture 169509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2962275"/>
                    </a:xfrm>
                    <a:prstGeom prst="rect">
                      <a:avLst/>
                    </a:prstGeom>
                  </pic:spPr>
                </pic:pic>
              </a:graphicData>
            </a:graphic>
          </wp:inline>
        </w:drawing>
      </w:r>
    </w:p>
    <w:p w14:paraId="1A70A951" w14:textId="4284794C" w:rsidR="009A20ED" w:rsidRPr="00090D0D" w:rsidRDefault="3C6A40F0" w:rsidP="3C6A40F0">
      <w:pPr>
        <w:spacing w:after="0" w:line="240" w:lineRule="auto"/>
        <w:rPr>
          <w:rFonts w:ascii="Garamond" w:eastAsia="Garamond" w:hAnsi="Garamond" w:cs="Garamond"/>
        </w:rPr>
      </w:pPr>
      <w:r w:rsidRPr="00090D0D">
        <w:rPr>
          <w:rFonts w:ascii="Garamond" w:eastAsia="Garamond" w:hAnsi="Garamond" w:cs="Garamond"/>
          <w:i/>
          <w:iCs/>
        </w:rPr>
        <w:t xml:space="preserve">Figure 11. </w:t>
      </w:r>
      <w:r w:rsidRPr="00090D0D">
        <w:rPr>
          <w:rFonts w:ascii="Garamond" w:eastAsia="Garamond" w:hAnsi="Garamond" w:cs="Garamond"/>
        </w:rPr>
        <w:t xml:space="preserve">NDMI risk, derived from Landsat8 OLI surface reflectance data, for all seasons, fire season, and off season at an 8km-by-8km resolution. </w:t>
      </w:r>
    </w:p>
    <w:p w14:paraId="517EC88F" w14:textId="2AEFBC32" w:rsidR="009A20ED" w:rsidRPr="00090D0D" w:rsidRDefault="009A20ED" w:rsidP="3C6A40F0">
      <w:pPr>
        <w:spacing w:after="0" w:line="240" w:lineRule="auto"/>
        <w:rPr>
          <w:rFonts w:ascii="Garamond" w:eastAsia="Garamond" w:hAnsi="Garamond" w:cs="Garamond"/>
        </w:rPr>
      </w:pPr>
    </w:p>
    <w:p w14:paraId="7CE4F30F" w14:textId="2129BD5E" w:rsidR="009A20ED" w:rsidRPr="00090D0D" w:rsidRDefault="3C6A40F0" w:rsidP="3C6A40F0">
      <w:pPr>
        <w:spacing w:after="0" w:line="240" w:lineRule="auto"/>
        <w:rPr>
          <w:rFonts w:ascii="Garamond" w:eastAsia="Garamond" w:hAnsi="Garamond" w:cs="Garamond"/>
        </w:rPr>
      </w:pPr>
      <w:r w:rsidRPr="00090D0D">
        <w:rPr>
          <w:rFonts w:ascii="Garamond" w:eastAsia="Garamond" w:hAnsi="Garamond" w:cs="Garamond"/>
        </w:rPr>
        <w:t xml:space="preserve">The cumulative wildfire risk (Figure 12) was greatest in the northern third of the study area during the fire </w:t>
      </w:r>
      <w:r w:rsidR="001578C7" w:rsidRPr="00090D0D">
        <w:rPr>
          <w:rFonts w:ascii="Garamond" w:eastAsia="Garamond" w:hAnsi="Garamond" w:cs="Garamond"/>
        </w:rPr>
        <w:t>season and</w:t>
      </w:r>
      <w:r w:rsidRPr="00090D0D">
        <w:rPr>
          <w:rFonts w:ascii="Garamond" w:eastAsia="Garamond" w:hAnsi="Garamond" w:cs="Garamond"/>
        </w:rPr>
        <w:t xml:space="preserve"> showed similar patterns to the LST and NDMI risk maps. During fire season, there was a slight increase in cumulative risk in the south-central part of the study area where thermal anomalies related to wildfires occurred.</w:t>
      </w:r>
    </w:p>
    <w:p w14:paraId="4DEA908A" w14:textId="73F572F8" w:rsidR="009A20ED" w:rsidRPr="00090D0D" w:rsidRDefault="3C6A40F0" w:rsidP="3C6A40F0">
      <w:pPr>
        <w:spacing w:after="0" w:line="240" w:lineRule="auto"/>
        <w:rPr>
          <w:rFonts w:ascii="Garamond" w:eastAsia="Garamond" w:hAnsi="Garamond" w:cs="Garamond"/>
        </w:rPr>
      </w:pPr>
      <w:r w:rsidRPr="00090D0D">
        <w:rPr>
          <w:rFonts w:ascii="Garamond" w:hAnsi="Garamond"/>
          <w:noProof/>
        </w:rPr>
        <w:lastRenderedPageBreak/>
        <w:drawing>
          <wp:inline distT="0" distB="0" distL="0" distR="0" wp14:anchorId="637BB365" wp14:editId="14754F68">
            <wp:extent cx="4572000" cy="2962275"/>
            <wp:effectExtent l="0" t="0" r="0" b="0"/>
            <wp:docPr id="24011491" name="Picture 2401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2962275"/>
                    </a:xfrm>
                    <a:prstGeom prst="rect">
                      <a:avLst/>
                    </a:prstGeom>
                  </pic:spPr>
                </pic:pic>
              </a:graphicData>
            </a:graphic>
          </wp:inline>
        </w:drawing>
      </w:r>
    </w:p>
    <w:p w14:paraId="39E5BA0F" w14:textId="2FD8E1FE" w:rsidR="3C6A40F0" w:rsidRPr="00090D0D" w:rsidRDefault="3C6A40F0" w:rsidP="3C6A40F0">
      <w:pPr>
        <w:spacing w:after="0" w:line="240" w:lineRule="auto"/>
        <w:rPr>
          <w:rFonts w:ascii="Garamond" w:eastAsia="Garamond" w:hAnsi="Garamond" w:cs="Garamond"/>
        </w:rPr>
      </w:pPr>
      <w:r w:rsidRPr="00090D0D">
        <w:rPr>
          <w:rFonts w:ascii="Garamond" w:eastAsia="Garamond" w:hAnsi="Garamond" w:cs="Garamond"/>
          <w:i/>
          <w:iCs/>
        </w:rPr>
        <w:t xml:space="preserve">Figure 12. </w:t>
      </w:r>
      <w:r w:rsidRPr="00090D0D">
        <w:rPr>
          <w:rFonts w:ascii="Garamond" w:eastAsia="Garamond" w:hAnsi="Garamond" w:cs="Garamond"/>
        </w:rPr>
        <w:t xml:space="preserve">Cumulative wildfire risk as a function of lightning frequency, LST, NDMI, and fuel for all seasons, fire season, and off season at an 8km-by-8km resolution. </w:t>
      </w:r>
    </w:p>
    <w:p w14:paraId="30B5CF2D" w14:textId="296C156F" w:rsidR="3C6A40F0" w:rsidRPr="00090D0D" w:rsidRDefault="3C6A40F0" w:rsidP="3C6A40F0">
      <w:pPr>
        <w:spacing w:after="0" w:line="240" w:lineRule="auto"/>
        <w:rPr>
          <w:rFonts w:ascii="Garamond" w:eastAsia="Garamond" w:hAnsi="Garamond" w:cs="Garamond"/>
        </w:rPr>
      </w:pPr>
    </w:p>
    <w:p w14:paraId="3AB7CD2F" w14:textId="01E82497" w:rsidR="00E41324" w:rsidRPr="00090D0D" w:rsidRDefault="112E6C8A" w:rsidP="3C6A40F0">
      <w:pPr>
        <w:spacing w:after="0" w:line="240" w:lineRule="auto"/>
        <w:rPr>
          <w:rFonts w:ascii="Garamond" w:eastAsia="Garamond" w:hAnsi="Garamond" w:cs="Garamond"/>
          <w:b/>
          <w:bCs/>
          <w:i/>
          <w:iCs/>
        </w:rPr>
      </w:pPr>
      <w:r w:rsidRPr="00090D0D">
        <w:rPr>
          <w:rFonts w:ascii="Garamond" w:eastAsia="Garamond" w:hAnsi="Garamond" w:cs="Garamond"/>
          <w:b/>
          <w:bCs/>
          <w:i/>
          <w:iCs/>
        </w:rPr>
        <w:t>4.1 Analysis of Results</w:t>
      </w:r>
    </w:p>
    <w:p w14:paraId="2117F18D" w14:textId="40C216FB" w:rsidR="0056152E" w:rsidRPr="00090D0D" w:rsidRDefault="3C6A40F0" w:rsidP="09D39C65">
      <w:pPr>
        <w:spacing w:after="0" w:line="240" w:lineRule="auto"/>
        <w:rPr>
          <w:rFonts w:ascii="Garamond" w:eastAsia="Garamond" w:hAnsi="Garamond" w:cs="Garamond"/>
        </w:rPr>
      </w:pPr>
      <w:bookmarkStart w:id="5" w:name="_Toc334198734"/>
      <w:r w:rsidRPr="00090D0D">
        <w:rPr>
          <w:rFonts w:ascii="Garamond" w:eastAsia="Garamond" w:hAnsi="Garamond" w:cs="Garamond"/>
        </w:rPr>
        <w:t xml:space="preserve">A visual assessment of figures 4, 5, and 6 shows a discrepancy between where lightning strikes occur, primarily along the Andean front, and where both lightning associated and non-lightning-associated thermal anomalies (i.e., fires) occur, in the south-central part of the study area. There were more thermal anomalies associated with lightning strikes in the south-central study area (Figure 6), but also more thermal anomalies overall (Figure 5), so it is unclear if lightning is more likely to result in ignitions in this area, or if there are just more fires (natural and anthropogenic) overall. The team was unable to determine if thermal anomalies associated with lightning strikes were causal with fire. Lightning strike frequencies were high along the Andean Front (Figure 4) where the team observed relatively high numbers of lightning-associated thermal anomalies, but qualitative inspection of these points and conversations with CONAF staff revealed that many of them are known to be caused by geothermal features, mining, or agricultural activities. Thus, there are actually fewer fires than shown along the Andean Front where lightning strike frequencies are highest. </w:t>
      </w:r>
      <w:r w:rsidR="09D39C65" w:rsidRPr="00090D0D">
        <w:rPr>
          <w:rFonts w:ascii="Garamond" w:eastAsia="Garamond" w:hAnsi="Garamond" w:cs="Garamond"/>
        </w:rPr>
        <w:t xml:space="preserve">This suggests that lightning frequency may not be the driving factor of lightning-ignited wildfire. </w:t>
      </w:r>
      <w:r w:rsidRPr="00090D0D">
        <w:rPr>
          <w:rFonts w:ascii="Garamond" w:eastAsia="Garamond" w:hAnsi="Garamond" w:cs="Garamond"/>
        </w:rPr>
        <w:t>For example, less continuous vegetation in alpine zones may limit fire spread or start. Additionally, the team did not include active precipitation in the temporal filter, which may be another reason for a lack of fires in the Andes – there may be more precipitation and fewer dry strikes.</w:t>
      </w:r>
    </w:p>
    <w:p w14:paraId="7375FAA0" w14:textId="36F022FE" w:rsidR="0056152E" w:rsidRPr="00090D0D" w:rsidRDefault="0056152E" w:rsidP="09D39C65">
      <w:pPr>
        <w:spacing w:after="0" w:line="240" w:lineRule="auto"/>
        <w:rPr>
          <w:rFonts w:ascii="Garamond" w:eastAsia="Garamond" w:hAnsi="Garamond" w:cs="Garamond"/>
        </w:rPr>
      </w:pPr>
    </w:p>
    <w:p w14:paraId="17373A50" w14:textId="47CA588A" w:rsidR="0056152E" w:rsidRPr="00090D0D" w:rsidRDefault="09D39C65" w:rsidP="09D39C65">
      <w:pPr>
        <w:spacing w:after="0" w:line="240" w:lineRule="auto"/>
        <w:rPr>
          <w:rFonts w:ascii="Garamond" w:eastAsia="Garamond" w:hAnsi="Garamond" w:cs="Garamond"/>
        </w:rPr>
      </w:pPr>
      <w:r w:rsidRPr="00090D0D">
        <w:rPr>
          <w:rFonts w:ascii="Garamond" w:eastAsia="Garamond" w:hAnsi="Garamond" w:cs="Garamond"/>
        </w:rPr>
        <w:t>The cumulative risk map is biased to the northern third of the study area (Figure 12) when in reality wildfires related to lightning strikes (Figure 6) are more likely to occur in the south-central part of the study area. The cumulative risk maps are similar to the LST and NDMI risk maps, suggesting that these factors carry too much weight in the cumulative risk calculation. LST and NDMI are both related to aridity, so it is possible that including the two factors without adjusting their weights was redundant. However, the methodology used to derive the cumulative risk map may still prove useful to the partners since the relative weights of each factor can be adjusted. Additionally, the risk ranks for each factor could be improved by using risk ranks based on experimentally determined thresholds, but the team was unable to find appropriate thresholds in the literature.</w:t>
      </w:r>
    </w:p>
    <w:p w14:paraId="099BF48F" w14:textId="0818F1D0" w:rsidR="0056152E" w:rsidRPr="00090D0D" w:rsidRDefault="0056152E" w:rsidP="09D39C65">
      <w:pPr>
        <w:pStyle w:val="NoSpacing"/>
        <w:rPr>
          <w:rFonts w:ascii="Garamond" w:eastAsia="Garamond" w:hAnsi="Garamond" w:cs="Garamond"/>
        </w:rPr>
      </w:pPr>
    </w:p>
    <w:p w14:paraId="4EB6DFAB" w14:textId="426CAABA" w:rsidR="00621AB9" w:rsidRPr="00090D0D" w:rsidRDefault="112E6C8A" w:rsidP="3C6A40F0">
      <w:pPr>
        <w:pStyle w:val="NoSpacing"/>
        <w:rPr>
          <w:rFonts w:ascii="Garamond" w:eastAsia="Garamond" w:hAnsi="Garamond" w:cs="Garamond"/>
          <w:b/>
          <w:bCs/>
          <w:i/>
          <w:iCs/>
        </w:rPr>
      </w:pPr>
      <w:r w:rsidRPr="00090D0D">
        <w:rPr>
          <w:rFonts w:ascii="Garamond" w:eastAsia="Garamond" w:hAnsi="Garamond" w:cs="Garamond"/>
          <w:b/>
          <w:bCs/>
          <w:i/>
          <w:iCs/>
        </w:rPr>
        <w:t>4.2 Future Work</w:t>
      </w:r>
      <w:bookmarkEnd w:id="5"/>
    </w:p>
    <w:p w14:paraId="2E861ABB" w14:textId="5952911E" w:rsidR="0056152E" w:rsidRPr="00090D0D" w:rsidRDefault="3C6A40F0" w:rsidP="09D39C65">
      <w:pPr>
        <w:spacing w:after="0" w:line="240" w:lineRule="auto"/>
        <w:rPr>
          <w:rFonts w:ascii="Garamond" w:eastAsia="Garamond" w:hAnsi="Garamond" w:cs="Garamond"/>
        </w:rPr>
      </w:pPr>
      <w:r w:rsidRPr="00090D0D">
        <w:rPr>
          <w:rFonts w:ascii="Garamond" w:eastAsia="Garamond" w:hAnsi="Garamond" w:cs="Garamond"/>
        </w:rPr>
        <w:t xml:space="preserve">Although the cumulative risk maps are not congruent with observed fires and CONAF’s </w:t>
      </w:r>
      <w:r w:rsidRPr="00090D0D">
        <w:rPr>
          <w:rFonts w:ascii="Garamond" w:eastAsia="Garamond" w:hAnsi="Garamond" w:cs="Garamond"/>
          <w:i/>
          <w:iCs/>
        </w:rPr>
        <w:t xml:space="preserve">in situ </w:t>
      </w:r>
      <w:r w:rsidRPr="00090D0D">
        <w:rPr>
          <w:rFonts w:ascii="Garamond" w:eastAsia="Garamond" w:hAnsi="Garamond" w:cs="Garamond"/>
        </w:rPr>
        <w:t xml:space="preserve">observations, future work refining the risk calculations could make the risk map operationally applicable. Specifically, </w:t>
      </w:r>
      <w:r w:rsidRPr="00090D0D">
        <w:rPr>
          <w:rFonts w:ascii="Garamond" w:eastAsia="Garamond" w:hAnsi="Garamond" w:cs="Garamond"/>
        </w:rPr>
        <w:lastRenderedPageBreak/>
        <w:t>refinement should include improved risk weighting, inclusion of relevant risk factors, and more accurate spatiotemporal filtration. The team assumed that all factors were weighted equally because the relative influence of factors on wildfire ignitions was unknown. One method of improving risk weights is creating multiple versions of the model with different factor weights and then comparing the output to observed thermal anomalies. The model could also be improved by including additional factors that have been shown to influence wildfire in other areas such as elevation, slope, aspect, and vegetation type. Spatiotemporal filtration would require a tool for clustering VIIRS AFP thermal anomaly data, while also screening it for manmade anomalies, such as mines, and non-fire natural anomalies, such as volcanoes. This would preferably be a tool that works in near real-time as well as for historic data. The clustering would need to find a likely point of origin, along with the associated time. From there, origin points could be correlated with spatiotemporally preceding lightning strikes and a wildfire-lightning connection could be built, or at least started. This work would need to be done using a larger spatial extent, or study area, than that of this project, and in order to have enough data, the extent would need significant extension.</w:t>
      </w:r>
    </w:p>
    <w:p w14:paraId="3100A7EB" w14:textId="6AFB4AAC" w:rsidR="09D39C65" w:rsidRPr="00090D0D" w:rsidRDefault="09D39C65" w:rsidP="09D39C65">
      <w:pPr>
        <w:spacing w:after="0" w:line="240" w:lineRule="auto"/>
        <w:rPr>
          <w:rFonts w:ascii="Garamond" w:eastAsia="Garamond" w:hAnsi="Garamond" w:cs="Garamond"/>
        </w:rPr>
      </w:pPr>
      <w:bookmarkStart w:id="6" w:name="_Toc334198735"/>
    </w:p>
    <w:p w14:paraId="334D041C" w14:textId="377F2528" w:rsidR="112E6C8A" w:rsidRPr="00090D0D" w:rsidRDefault="112E6C8A" w:rsidP="3C6A40F0">
      <w:pPr>
        <w:pStyle w:val="Heading1"/>
        <w:spacing w:before="0" w:line="240" w:lineRule="auto"/>
        <w:rPr>
          <w:rFonts w:ascii="Garamond" w:eastAsia="Garamond" w:hAnsi="Garamond" w:cs="Garamond"/>
        </w:rPr>
      </w:pPr>
      <w:r w:rsidRPr="00090D0D">
        <w:rPr>
          <w:rFonts w:ascii="Garamond" w:eastAsia="Garamond" w:hAnsi="Garamond" w:cs="Garamond"/>
        </w:rPr>
        <w:t>5</w:t>
      </w:r>
      <w:r w:rsidR="0E5915C0" w:rsidRPr="00090D0D">
        <w:rPr>
          <w:rFonts w:ascii="Garamond" w:eastAsia="Garamond" w:hAnsi="Garamond" w:cs="Garamond"/>
        </w:rPr>
        <w:t xml:space="preserve">. </w:t>
      </w:r>
      <w:r w:rsidR="7DF772E6" w:rsidRPr="00090D0D">
        <w:rPr>
          <w:rFonts w:ascii="Garamond" w:eastAsia="Garamond" w:hAnsi="Garamond" w:cs="Garamond"/>
        </w:rPr>
        <w:t>Conclusions</w:t>
      </w:r>
      <w:bookmarkEnd w:id="6"/>
    </w:p>
    <w:p w14:paraId="0E4A4E99" w14:textId="3689FB41" w:rsidR="3C6A40F0" w:rsidRPr="00090D0D" w:rsidRDefault="3C6A40F0" w:rsidP="3C6A40F0">
      <w:pPr>
        <w:spacing w:after="0" w:line="240" w:lineRule="auto"/>
        <w:rPr>
          <w:rFonts w:ascii="Garamond" w:eastAsia="Garamond" w:hAnsi="Garamond" w:cs="Garamond"/>
        </w:rPr>
      </w:pPr>
      <w:r w:rsidRPr="00090D0D">
        <w:rPr>
          <w:rFonts w:ascii="Garamond" w:eastAsia="Garamond" w:hAnsi="Garamond" w:cs="Garamond"/>
        </w:rPr>
        <w:t>The team provided the partners with a preliminary lightning ignited wildfire risk map. Understanding risk throughout the study area will allow partners to anticipate fires and allocate resources accordingly.</w:t>
      </w:r>
      <w:r w:rsidR="09D39C65" w:rsidRPr="00090D0D">
        <w:rPr>
          <w:rFonts w:ascii="Garamond" w:eastAsia="Garamond" w:hAnsi="Garamond" w:cs="Garamond"/>
        </w:rPr>
        <w:t xml:space="preserve"> The risk calculations need some improvement but</w:t>
      </w:r>
      <w:r w:rsidRPr="00090D0D">
        <w:rPr>
          <w:rFonts w:ascii="Garamond" w:eastAsia="Garamond" w:hAnsi="Garamond" w:cs="Garamond"/>
        </w:rPr>
        <w:t xml:space="preserve"> the framework for the model is already established so the aforementioned improvements would be easy to implement. Additionally, the team provided CONAF with lightning, LST, NDMI, and thermal anomaly datasets that they can use for creating their own fire risk analyses or other purposes related to silviculture.</w:t>
      </w:r>
      <w:r w:rsidR="09D39C65" w:rsidRPr="00090D0D">
        <w:rPr>
          <w:rFonts w:ascii="Garamond" w:eastAsia="Garamond" w:hAnsi="Garamond" w:cs="Garamond"/>
        </w:rPr>
        <w:t xml:space="preserve"> T</w:t>
      </w:r>
      <w:r w:rsidRPr="00090D0D">
        <w:rPr>
          <w:rFonts w:ascii="Garamond" w:eastAsia="Garamond" w:hAnsi="Garamond" w:cs="Garamond"/>
        </w:rPr>
        <w:t xml:space="preserve">he team hopes that the data will provide substantial insight to the </w:t>
      </w:r>
      <w:r w:rsidR="00576448" w:rsidRPr="00090D0D">
        <w:rPr>
          <w:rFonts w:ascii="Garamond" w:eastAsia="Garamond" w:hAnsi="Garamond" w:cs="Garamond"/>
        </w:rPr>
        <w:t>partners and</w:t>
      </w:r>
      <w:r w:rsidRPr="00090D0D">
        <w:rPr>
          <w:rFonts w:ascii="Garamond" w:eastAsia="Garamond" w:hAnsi="Garamond" w:cs="Garamond"/>
        </w:rPr>
        <w:t xml:space="preserve"> will act as a valuable tool that can provide further protection to communities located in areas of high lightning-ignited wildfire risk. With the work that the team has provided, our partners are better informed of risk in their management </w:t>
      </w:r>
      <w:r w:rsidR="00576448" w:rsidRPr="00090D0D">
        <w:rPr>
          <w:rFonts w:ascii="Garamond" w:eastAsia="Garamond" w:hAnsi="Garamond" w:cs="Garamond"/>
        </w:rPr>
        <w:t>areas and</w:t>
      </w:r>
      <w:r w:rsidRPr="00090D0D">
        <w:rPr>
          <w:rFonts w:ascii="Garamond" w:eastAsia="Garamond" w:hAnsi="Garamond" w:cs="Garamond"/>
        </w:rPr>
        <w:t xml:space="preserve"> can thus hopefully improve wildfire management techniques in a manner non-intrusive to their current practices. This can help lower negative outcomes from wildfires that communities and the Chilean economy faces.</w:t>
      </w:r>
    </w:p>
    <w:p w14:paraId="37FDF893" w14:textId="2E044E35" w:rsidR="3C6A40F0" w:rsidRPr="00090D0D" w:rsidRDefault="3C6A40F0" w:rsidP="3C6A40F0">
      <w:pPr>
        <w:spacing w:after="0" w:line="240" w:lineRule="auto"/>
        <w:rPr>
          <w:rFonts w:ascii="Garamond" w:eastAsia="Garamond" w:hAnsi="Garamond" w:cs="Garamond"/>
        </w:rPr>
      </w:pPr>
    </w:p>
    <w:p w14:paraId="0339D4F9" w14:textId="34A95833" w:rsidR="3C6A40F0" w:rsidRPr="00090D0D" w:rsidRDefault="3C6A40F0" w:rsidP="3C6A40F0">
      <w:pPr>
        <w:spacing w:after="0" w:line="240" w:lineRule="auto"/>
        <w:rPr>
          <w:rFonts w:ascii="Garamond" w:eastAsia="Garamond" w:hAnsi="Garamond" w:cs="Garamond"/>
        </w:rPr>
      </w:pPr>
      <w:r w:rsidRPr="00090D0D">
        <w:rPr>
          <w:rFonts w:ascii="Garamond" w:eastAsia="Garamond" w:hAnsi="Garamond" w:cs="Garamond"/>
        </w:rPr>
        <w:t>In the data analysis, a low number of strikes preceded fire when run in the spatiotemporal buffer, with only a few hundred anomalous points in the study period showing said pattern. Because of this finding, the team believes that lightning could be as low an ignition risk as previous literature stated (Menezes et al. 2022). More work must be done to conclude this in a quantitative way.</w:t>
      </w:r>
    </w:p>
    <w:p w14:paraId="7EF42CEC" w14:textId="77777777" w:rsidR="0056152E" w:rsidRPr="00090D0D" w:rsidRDefault="0056152E" w:rsidP="3C6A40F0">
      <w:pPr>
        <w:pStyle w:val="Heading1"/>
        <w:spacing w:before="0" w:line="240" w:lineRule="auto"/>
        <w:rPr>
          <w:rFonts w:ascii="Garamond" w:eastAsia="Garamond" w:hAnsi="Garamond" w:cs="Garamond"/>
          <w:sz w:val="22"/>
          <w:szCs w:val="22"/>
        </w:rPr>
      </w:pPr>
      <w:bookmarkStart w:id="7" w:name="_Toc334198736"/>
    </w:p>
    <w:p w14:paraId="21233436" w14:textId="00D01E0A" w:rsidR="112E6C8A" w:rsidRPr="00090D0D" w:rsidRDefault="112E6C8A" w:rsidP="3C6A40F0">
      <w:pPr>
        <w:pStyle w:val="Heading1"/>
        <w:spacing w:before="0" w:line="240" w:lineRule="auto"/>
        <w:rPr>
          <w:rFonts w:ascii="Garamond" w:eastAsia="Garamond" w:hAnsi="Garamond" w:cs="Garamond"/>
        </w:rPr>
      </w:pPr>
      <w:r w:rsidRPr="00090D0D">
        <w:rPr>
          <w:rFonts w:ascii="Garamond" w:eastAsia="Garamond" w:hAnsi="Garamond" w:cs="Garamond"/>
        </w:rPr>
        <w:t>6</w:t>
      </w:r>
      <w:r w:rsidR="0E5915C0" w:rsidRPr="00090D0D">
        <w:rPr>
          <w:rFonts w:ascii="Garamond" w:eastAsia="Garamond" w:hAnsi="Garamond" w:cs="Garamond"/>
        </w:rPr>
        <w:t xml:space="preserve">. </w:t>
      </w:r>
      <w:r w:rsidR="7DF772E6" w:rsidRPr="00090D0D">
        <w:rPr>
          <w:rFonts w:ascii="Garamond" w:eastAsia="Garamond" w:hAnsi="Garamond" w:cs="Garamond"/>
        </w:rPr>
        <w:t>Acknowledgments</w:t>
      </w:r>
      <w:bookmarkEnd w:id="7"/>
    </w:p>
    <w:p w14:paraId="392923AD" w14:textId="137B3854" w:rsidR="000057A6" w:rsidRPr="00090D0D" w:rsidRDefault="792C7161" w:rsidP="3C6A40F0">
      <w:pPr>
        <w:spacing w:after="0" w:line="240" w:lineRule="auto"/>
        <w:rPr>
          <w:rFonts w:ascii="Garamond" w:eastAsia="Garamond" w:hAnsi="Garamond" w:cs="Garamond"/>
          <w:color w:val="000000" w:themeColor="text1"/>
        </w:rPr>
      </w:pPr>
      <w:r w:rsidRPr="00090D0D">
        <w:rPr>
          <w:rFonts w:ascii="Garamond" w:eastAsia="Garamond" w:hAnsi="Garamond" w:cs="Garamond"/>
        </w:rPr>
        <w:t xml:space="preserve">The team gives thanks to Dr. Kenton Ross and Kristopher </w:t>
      </w:r>
      <w:proofErr w:type="spellStart"/>
      <w:r w:rsidRPr="00090D0D">
        <w:rPr>
          <w:rFonts w:ascii="Garamond" w:eastAsia="Garamond" w:hAnsi="Garamond" w:cs="Garamond"/>
        </w:rPr>
        <w:t>Bedka</w:t>
      </w:r>
      <w:proofErr w:type="spellEnd"/>
      <w:r w:rsidRPr="00090D0D">
        <w:rPr>
          <w:rFonts w:ascii="Garamond" w:eastAsia="Garamond" w:hAnsi="Garamond" w:cs="Garamond"/>
        </w:rPr>
        <w:t xml:space="preserve"> for their guidance as scientific advisors for the project. The team gratefully acknowledges the cooperation, understanding, and guidance their partners at CONAF and the Chilean Embassy showed them throughout the study. Lastly, the team gives many thanks to Adriana Le </w:t>
      </w:r>
      <w:proofErr w:type="spellStart"/>
      <w:r w:rsidRPr="00090D0D">
        <w:rPr>
          <w:rFonts w:ascii="Garamond" w:eastAsia="Garamond" w:hAnsi="Garamond" w:cs="Garamond"/>
        </w:rPr>
        <w:t>Compte</w:t>
      </w:r>
      <w:proofErr w:type="spellEnd"/>
      <w:r w:rsidRPr="00090D0D">
        <w:rPr>
          <w:rFonts w:ascii="Garamond" w:eastAsia="Garamond" w:hAnsi="Garamond" w:cs="Garamond"/>
        </w:rPr>
        <w:t xml:space="preserve"> for her support, insight, and mentorship throughout the term as their node fellow. </w:t>
      </w:r>
    </w:p>
    <w:p w14:paraId="71AE4B04" w14:textId="0BA6F6DE" w:rsidR="000057A6" w:rsidRPr="00090D0D" w:rsidRDefault="000057A6" w:rsidP="094F0F4F">
      <w:pPr>
        <w:spacing w:after="0" w:line="240" w:lineRule="auto"/>
        <w:rPr>
          <w:rFonts w:ascii="Garamond" w:eastAsia="Garamond" w:hAnsi="Garamond" w:cs="Garamond"/>
        </w:rPr>
      </w:pPr>
    </w:p>
    <w:p w14:paraId="4A974CA7" w14:textId="62E796AB" w:rsidR="000057A6" w:rsidRPr="00090D0D" w:rsidRDefault="74651FA1" w:rsidP="3C6A40F0">
      <w:pPr>
        <w:spacing w:after="0" w:line="240" w:lineRule="auto"/>
        <w:rPr>
          <w:rFonts w:ascii="Garamond" w:eastAsia="Garamond" w:hAnsi="Garamond" w:cs="Garamond"/>
          <w:color w:val="000000" w:themeColor="text1"/>
        </w:rPr>
      </w:pPr>
      <w:proofErr w:type="spellStart"/>
      <w:r w:rsidRPr="00090D0D">
        <w:rPr>
          <w:rFonts w:ascii="Garamond" w:eastAsia="Garamond" w:hAnsi="Garamond" w:cs="Garamond"/>
        </w:rPr>
        <w:t>DigitalGlobe</w:t>
      </w:r>
      <w:proofErr w:type="spellEnd"/>
      <w:r w:rsidRPr="00090D0D">
        <w:rPr>
          <w:rFonts w:ascii="Garamond" w:eastAsia="Garamond" w:hAnsi="Garamond" w:cs="Garamond"/>
        </w:rPr>
        <w:t xml:space="preserve">/Maxar data were provided by NASA’s Commercial Archive Data for NASA investigators (cad4nasa.gsfc.nasa.gov) under the National Geospatial-Intelligence Agency’s </w:t>
      </w:r>
      <w:proofErr w:type="spellStart"/>
      <w:r w:rsidRPr="00090D0D">
        <w:rPr>
          <w:rFonts w:ascii="Garamond" w:eastAsia="Garamond" w:hAnsi="Garamond" w:cs="Garamond"/>
        </w:rPr>
        <w:t>NextView</w:t>
      </w:r>
      <w:proofErr w:type="spellEnd"/>
      <w:r w:rsidRPr="00090D0D">
        <w:rPr>
          <w:rFonts w:ascii="Garamond" w:eastAsia="Garamond" w:hAnsi="Garamond" w:cs="Garamond"/>
        </w:rPr>
        <w:t xml:space="preserve"> license agreement. </w:t>
      </w:r>
    </w:p>
    <w:p w14:paraId="457641FD" w14:textId="53A0923F" w:rsidR="000057A6" w:rsidRPr="00090D0D" w:rsidRDefault="000057A6" w:rsidP="094F0F4F">
      <w:pPr>
        <w:spacing w:after="0" w:line="240" w:lineRule="auto"/>
        <w:rPr>
          <w:rFonts w:ascii="Garamond" w:eastAsia="Garamond" w:hAnsi="Garamond" w:cs="Garamond"/>
        </w:rPr>
      </w:pPr>
    </w:p>
    <w:p w14:paraId="692437BF" w14:textId="6A3E1B28" w:rsidR="000057A6" w:rsidRPr="00090D0D" w:rsidRDefault="74651FA1" w:rsidP="3C6A40F0">
      <w:pPr>
        <w:spacing w:after="0" w:line="240" w:lineRule="auto"/>
        <w:rPr>
          <w:rFonts w:ascii="Garamond" w:eastAsia="Garamond" w:hAnsi="Garamond" w:cs="Garamond"/>
          <w:color w:val="000000" w:themeColor="text1"/>
        </w:rPr>
      </w:pPr>
      <w:r w:rsidRPr="00090D0D">
        <w:rPr>
          <w:rFonts w:ascii="Garamond" w:eastAsia="Garamond" w:hAnsi="Garamond" w:cs="Garamond"/>
        </w:rPr>
        <w:t xml:space="preserve">Maps throughout this work were created using ArcGIS® software by Esri. ArcGIS® and ArcMap™ are the intellectual property of Esri and are used herein under license. All rights reserved. </w:t>
      </w:r>
    </w:p>
    <w:p w14:paraId="703D885F" w14:textId="04A62840" w:rsidR="000057A6" w:rsidRPr="00090D0D" w:rsidRDefault="000057A6" w:rsidP="3C6A40F0">
      <w:pPr>
        <w:spacing w:after="0" w:line="240" w:lineRule="auto"/>
        <w:rPr>
          <w:rFonts w:ascii="Garamond" w:eastAsia="Garamond" w:hAnsi="Garamond" w:cs="Garamond"/>
          <w:color w:val="000000" w:themeColor="text1"/>
        </w:rPr>
      </w:pPr>
    </w:p>
    <w:p w14:paraId="33DBD467" w14:textId="7298A8E1" w:rsidR="000057A6" w:rsidRPr="00090D0D" w:rsidRDefault="1843C93C" w:rsidP="3C6A40F0">
      <w:pPr>
        <w:spacing w:after="0" w:line="240" w:lineRule="auto"/>
        <w:rPr>
          <w:rFonts w:ascii="Garamond" w:eastAsia="Garamond" w:hAnsi="Garamond" w:cs="Garamond"/>
          <w:color w:val="000000"/>
        </w:rPr>
      </w:pPr>
      <w:r w:rsidRPr="00090D0D">
        <w:rPr>
          <w:rFonts w:ascii="Garamond" w:eastAsia="Garamond" w:hAnsi="Garamond" w:cs="Garamond"/>
          <w:color w:val="000000" w:themeColor="text1"/>
        </w:rPr>
        <w:t>A</w:t>
      </w:r>
      <w:r w:rsidR="06E5B774" w:rsidRPr="00090D0D">
        <w:rPr>
          <w:rFonts w:ascii="Garamond" w:eastAsia="Garamond" w:hAnsi="Garamond" w:cs="Garamond"/>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090D0D" w:rsidRDefault="000057A6" w:rsidP="3C6A40F0">
      <w:pPr>
        <w:spacing w:after="0" w:line="240" w:lineRule="auto"/>
        <w:rPr>
          <w:rFonts w:ascii="Garamond" w:eastAsia="Garamond" w:hAnsi="Garamond" w:cs="Garamond"/>
        </w:rPr>
      </w:pPr>
    </w:p>
    <w:p w14:paraId="108F742C" w14:textId="675DB84B" w:rsidR="00FC670A" w:rsidRPr="00090D0D" w:rsidRDefault="464527BD" w:rsidP="3C6A40F0">
      <w:pPr>
        <w:spacing w:after="0" w:line="240" w:lineRule="auto"/>
        <w:rPr>
          <w:rFonts w:ascii="Garamond" w:eastAsia="Garamond" w:hAnsi="Garamond" w:cs="Garamond"/>
        </w:rPr>
      </w:pPr>
      <w:r w:rsidRPr="00090D0D">
        <w:rPr>
          <w:rFonts w:ascii="Garamond" w:eastAsia="Garamond" w:hAnsi="Garamond" w:cs="Garamond"/>
        </w:rPr>
        <w:t xml:space="preserve">This material is based upon work supported by NASA </w:t>
      </w:r>
      <w:r w:rsidR="43B96AEC" w:rsidRPr="00090D0D">
        <w:rPr>
          <w:rFonts w:ascii="Garamond" w:eastAsia="Garamond" w:hAnsi="Garamond" w:cs="Garamond"/>
        </w:rPr>
        <w:t>through</w:t>
      </w:r>
      <w:r w:rsidR="0AB5F770" w:rsidRPr="00090D0D">
        <w:rPr>
          <w:rFonts w:ascii="Garamond" w:eastAsia="Garamond" w:hAnsi="Garamond" w:cs="Garamond"/>
        </w:rPr>
        <w:t xml:space="preserve"> contract NNL16AA05C</w:t>
      </w:r>
      <w:r w:rsidRPr="00090D0D">
        <w:rPr>
          <w:rFonts w:ascii="Garamond" w:eastAsia="Garamond" w:hAnsi="Garamond" w:cs="Garamond"/>
        </w:rPr>
        <w:t>.</w:t>
      </w:r>
    </w:p>
    <w:p w14:paraId="208BE60E" w14:textId="77777777" w:rsidR="0056152E" w:rsidRPr="00090D0D" w:rsidRDefault="0056152E" w:rsidP="3C6A40F0">
      <w:pPr>
        <w:pStyle w:val="Heading1"/>
        <w:spacing w:before="0" w:line="240" w:lineRule="auto"/>
        <w:rPr>
          <w:rFonts w:ascii="Garamond" w:eastAsia="Garamond" w:hAnsi="Garamond" w:cs="Garamond"/>
          <w:sz w:val="22"/>
          <w:szCs w:val="22"/>
        </w:rPr>
      </w:pPr>
      <w:bookmarkStart w:id="8" w:name="_Toc334198737"/>
    </w:p>
    <w:p w14:paraId="31024969" w14:textId="7C28F136" w:rsidR="112E6C8A" w:rsidRPr="00090D0D" w:rsidRDefault="112E6C8A" w:rsidP="3C6A40F0">
      <w:pPr>
        <w:pStyle w:val="Heading1"/>
        <w:spacing w:before="0" w:line="240" w:lineRule="auto"/>
        <w:rPr>
          <w:rFonts w:ascii="Garamond" w:eastAsia="Garamond" w:hAnsi="Garamond" w:cs="Garamond"/>
        </w:rPr>
      </w:pPr>
      <w:r w:rsidRPr="00090D0D">
        <w:rPr>
          <w:rFonts w:ascii="Garamond" w:eastAsia="Garamond" w:hAnsi="Garamond" w:cs="Garamond"/>
        </w:rPr>
        <w:t>7</w:t>
      </w:r>
      <w:r w:rsidR="0E5915C0" w:rsidRPr="00090D0D">
        <w:rPr>
          <w:rFonts w:ascii="Garamond" w:eastAsia="Garamond" w:hAnsi="Garamond" w:cs="Garamond"/>
        </w:rPr>
        <w:t xml:space="preserve">. </w:t>
      </w:r>
      <w:r w:rsidR="4AC7331C" w:rsidRPr="00090D0D">
        <w:rPr>
          <w:rFonts w:ascii="Garamond" w:eastAsia="Garamond" w:hAnsi="Garamond" w:cs="Garamond"/>
        </w:rPr>
        <w:t>Glossary</w:t>
      </w:r>
    </w:p>
    <w:p w14:paraId="043E6CBB" w14:textId="68757EE9" w:rsidR="000501ED" w:rsidRPr="00090D0D" w:rsidRDefault="12F57C22" w:rsidP="3C6A40F0">
      <w:pPr>
        <w:spacing w:after="0" w:line="240" w:lineRule="auto"/>
        <w:rPr>
          <w:rFonts w:ascii="Garamond" w:eastAsia="Garamond" w:hAnsi="Garamond" w:cs="Garamond"/>
        </w:rPr>
      </w:pPr>
      <w:r w:rsidRPr="00090D0D">
        <w:rPr>
          <w:rFonts w:ascii="Garamond" w:eastAsia="Garamond" w:hAnsi="Garamond" w:cs="Garamond"/>
          <w:b/>
          <w:bCs/>
        </w:rPr>
        <w:t>Earth observations</w:t>
      </w:r>
      <w:r w:rsidRPr="00090D0D">
        <w:rPr>
          <w:rFonts w:ascii="Garamond" w:eastAsia="Garamond" w:hAnsi="Garamond" w:cs="Garamond"/>
        </w:rPr>
        <w:t xml:space="preserve"> </w:t>
      </w:r>
      <w:r w:rsidR="26542DBC" w:rsidRPr="00090D0D">
        <w:rPr>
          <w:rFonts w:ascii="Garamond" w:eastAsia="Garamond" w:hAnsi="Garamond" w:cs="Garamond"/>
        </w:rPr>
        <w:t>–</w:t>
      </w:r>
      <w:r w:rsidRPr="00090D0D">
        <w:rPr>
          <w:rFonts w:ascii="Garamond" w:eastAsia="Garamond" w:hAnsi="Garamond" w:cs="Garamond"/>
        </w:rPr>
        <w:t xml:space="preserve"> </w:t>
      </w:r>
      <w:r w:rsidR="26542DBC" w:rsidRPr="00090D0D">
        <w:rPr>
          <w:rFonts w:ascii="Garamond" w:eastAsia="Garamond" w:hAnsi="Garamond" w:cs="Garamond"/>
        </w:rPr>
        <w:t>Satellites and sensors that collect information about the Earth’s physical, chemical, and biological systems over space and time</w:t>
      </w:r>
    </w:p>
    <w:p w14:paraId="1B5AD420" w14:textId="7D5CFA9F" w:rsidR="67FF4B55" w:rsidRPr="00090D0D" w:rsidRDefault="61DDB42D" w:rsidP="3C6A40F0">
      <w:pPr>
        <w:spacing w:after="0" w:line="240" w:lineRule="auto"/>
        <w:rPr>
          <w:rFonts w:ascii="Garamond" w:eastAsia="Garamond" w:hAnsi="Garamond" w:cs="Garamond"/>
          <w:b/>
          <w:bCs/>
        </w:rPr>
      </w:pPr>
      <w:r w:rsidRPr="00090D0D">
        <w:rPr>
          <w:rFonts w:ascii="Garamond" w:eastAsia="Garamond" w:hAnsi="Garamond" w:cs="Garamond"/>
          <w:b/>
          <w:bCs/>
        </w:rPr>
        <w:t xml:space="preserve">AFP </w:t>
      </w:r>
      <w:r w:rsidRPr="00090D0D">
        <w:rPr>
          <w:rFonts w:ascii="Garamond" w:eastAsia="Garamond" w:hAnsi="Garamond" w:cs="Garamond"/>
        </w:rPr>
        <w:t>– Active Fire Product of the Suomi NPP VIIRS satellite.</w:t>
      </w:r>
    </w:p>
    <w:p w14:paraId="3A112C00" w14:textId="2A0AA550" w:rsidR="67FF4B55" w:rsidRPr="00090D0D" w:rsidRDefault="61DDB42D" w:rsidP="3C6A40F0">
      <w:pPr>
        <w:spacing w:after="0" w:line="240" w:lineRule="auto"/>
        <w:rPr>
          <w:rFonts w:ascii="Garamond" w:eastAsia="Garamond" w:hAnsi="Garamond" w:cs="Garamond"/>
          <w:b/>
          <w:bCs/>
        </w:rPr>
      </w:pPr>
      <w:r w:rsidRPr="00090D0D">
        <w:rPr>
          <w:rFonts w:ascii="Garamond" w:eastAsia="Garamond" w:hAnsi="Garamond" w:cs="Garamond"/>
          <w:b/>
          <w:bCs/>
        </w:rPr>
        <w:t>GLM</w:t>
      </w:r>
      <w:r w:rsidRPr="00090D0D">
        <w:rPr>
          <w:rFonts w:ascii="Garamond" w:eastAsia="Garamond" w:hAnsi="Garamond" w:cs="Garamond"/>
        </w:rPr>
        <w:t xml:space="preserve"> – Geostationary Lightning Mapper sensor on the NOAA GOES-16 (previously GOES-R) satellite.</w:t>
      </w:r>
    </w:p>
    <w:p w14:paraId="5AB52469" w14:textId="40ECE358" w:rsidR="67FF4B55" w:rsidRPr="00090D0D" w:rsidRDefault="61DDB42D" w:rsidP="67FF4B55">
      <w:pPr>
        <w:spacing w:after="0" w:line="240" w:lineRule="auto"/>
        <w:rPr>
          <w:rFonts w:ascii="Garamond" w:eastAsia="Garamond" w:hAnsi="Garamond" w:cs="Garamond"/>
          <w:color w:val="000000" w:themeColor="text1"/>
        </w:rPr>
      </w:pPr>
      <w:r w:rsidRPr="00090D0D">
        <w:rPr>
          <w:rFonts w:ascii="Garamond" w:eastAsia="Garamond" w:hAnsi="Garamond" w:cs="Garamond"/>
          <w:b/>
          <w:bCs/>
          <w:color w:val="000000" w:themeColor="text1"/>
        </w:rPr>
        <w:t xml:space="preserve">NDMI </w:t>
      </w:r>
      <w:r w:rsidR="2789547B" w:rsidRPr="00090D0D">
        <w:rPr>
          <w:rFonts w:ascii="Garamond" w:eastAsia="Garamond" w:hAnsi="Garamond" w:cs="Garamond"/>
        </w:rPr>
        <w:t>–</w:t>
      </w:r>
      <w:r w:rsidRPr="00090D0D">
        <w:rPr>
          <w:rFonts w:ascii="Garamond" w:eastAsia="Garamond" w:hAnsi="Garamond" w:cs="Garamond"/>
          <w:b/>
          <w:bCs/>
          <w:color w:val="000000" w:themeColor="text1"/>
        </w:rPr>
        <w:t xml:space="preserve"> </w:t>
      </w:r>
      <w:r w:rsidRPr="00090D0D">
        <w:rPr>
          <w:rFonts w:ascii="Garamond" w:eastAsia="Garamond" w:hAnsi="Garamond" w:cs="Garamond"/>
          <w:color w:val="000000" w:themeColor="text1"/>
        </w:rPr>
        <w:t>Normalized Difference Moisture Index; an index representing the relative moisture of vegetation.</w:t>
      </w:r>
    </w:p>
    <w:p w14:paraId="61CEFEB9" w14:textId="418F1CDA" w:rsidR="67FF4B55" w:rsidRPr="00090D0D" w:rsidRDefault="61DDB42D" w:rsidP="3C6A40F0">
      <w:pPr>
        <w:spacing w:after="0" w:line="240" w:lineRule="auto"/>
        <w:rPr>
          <w:rFonts w:ascii="Garamond" w:eastAsia="Garamond" w:hAnsi="Garamond" w:cs="Garamond"/>
        </w:rPr>
      </w:pPr>
      <w:r w:rsidRPr="00090D0D">
        <w:rPr>
          <w:rFonts w:ascii="Garamond" w:eastAsia="Garamond" w:hAnsi="Garamond" w:cs="Garamond"/>
          <w:b/>
          <w:bCs/>
        </w:rPr>
        <w:t xml:space="preserve">Sclerophyllous </w:t>
      </w:r>
      <w:r w:rsidRPr="00090D0D">
        <w:rPr>
          <w:rFonts w:ascii="Garamond" w:eastAsia="Garamond" w:hAnsi="Garamond" w:cs="Garamond"/>
        </w:rPr>
        <w:t>–</w:t>
      </w:r>
      <w:r w:rsidRPr="00090D0D">
        <w:rPr>
          <w:rFonts w:ascii="Garamond" w:eastAsia="Garamond" w:hAnsi="Garamond" w:cs="Garamond"/>
          <w:b/>
          <w:bCs/>
        </w:rPr>
        <w:t xml:space="preserve"> </w:t>
      </w:r>
      <w:r w:rsidRPr="00090D0D">
        <w:rPr>
          <w:rFonts w:ascii="Garamond" w:eastAsia="Garamond" w:hAnsi="Garamond" w:cs="Garamond"/>
        </w:rPr>
        <w:t>Refers to plants adapted to long periods of dryness and heat.</w:t>
      </w:r>
    </w:p>
    <w:p w14:paraId="3A0A5D7A" w14:textId="62906A9E" w:rsidR="7A17B4BA" w:rsidRPr="00090D0D" w:rsidRDefault="61DDB42D" w:rsidP="00090D0D">
      <w:pPr>
        <w:spacing w:after="0" w:line="240" w:lineRule="auto"/>
        <w:rPr>
          <w:rFonts w:ascii="Garamond" w:eastAsia="Garamond" w:hAnsi="Garamond" w:cs="Garamond"/>
        </w:rPr>
      </w:pPr>
      <w:r w:rsidRPr="00090D0D">
        <w:rPr>
          <w:rFonts w:ascii="Garamond" w:eastAsia="Garamond" w:hAnsi="Garamond" w:cs="Garamond"/>
          <w:b/>
          <w:bCs/>
        </w:rPr>
        <w:t>VIIRS</w:t>
      </w:r>
      <w:r w:rsidRPr="00090D0D">
        <w:rPr>
          <w:rFonts w:ascii="Garamond" w:eastAsia="Garamond" w:hAnsi="Garamond" w:cs="Garamond"/>
        </w:rPr>
        <w:t xml:space="preserve"> – Visible Infrared Imaging Radiometer Suite sensors on the Suomi National Polar Orbiting Partnership (NPP) satellite.</w:t>
      </w:r>
      <w:r w:rsidRPr="00090D0D">
        <w:rPr>
          <w:rFonts w:ascii="Garamond" w:eastAsia="Garamond" w:hAnsi="Garamond" w:cs="Garamond"/>
          <w:b/>
          <w:bCs/>
        </w:rPr>
        <w:t xml:space="preserve"> </w:t>
      </w:r>
      <w:r w:rsidR="67FF4B55" w:rsidRPr="00090D0D">
        <w:rPr>
          <w:rFonts w:ascii="Garamond" w:hAnsi="Garamond"/>
        </w:rPr>
        <w:br/>
      </w:r>
      <w:r w:rsidRPr="00090D0D">
        <w:rPr>
          <w:rFonts w:ascii="Garamond" w:eastAsia="Garamond" w:hAnsi="Garamond" w:cs="Garamond"/>
          <w:b/>
          <w:bCs/>
        </w:rPr>
        <w:t>GOES-16</w:t>
      </w:r>
      <w:r w:rsidRPr="00090D0D">
        <w:rPr>
          <w:rFonts w:ascii="Garamond" w:eastAsia="Garamond" w:hAnsi="Garamond" w:cs="Garamond"/>
        </w:rPr>
        <w:t xml:space="preserve"> – Geostationary Operational Environmental Satellite 16. NOAA run satellite that houses the Western hemisphere GLM. </w:t>
      </w:r>
    </w:p>
    <w:p w14:paraId="59571753" w14:textId="77777777" w:rsidR="00090D0D" w:rsidRPr="00090D0D" w:rsidRDefault="00090D0D" w:rsidP="00090D0D">
      <w:pPr>
        <w:spacing w:after="0" w:line="240" w:lineRule="auto"/>
        <w:rPr>
          <w:rFonts w:ascii="Garamond" w:eastAsia="Garamond" w:hAnsi="Garamond" w:cs="Garamond"/>
        </w:rPr>
      </w:pPr>
    </w:p>
    <w:p w14:paraId="4E912390" w14:textId="29BE121E" w:rsidR="25B91EB1" w:rsidRPr="00090D0D" w:rsidRDefault="25B91EB1" w:rsidP="3C6A40F0">
      <w:pPr>
        <w:pStyle w:val="Heading1"/>
        <w:spacing w:before="0" w:line="240" w:lineRule="auto"/>
        <w:rPr>
          <w:rFonts w:ascii="Garamond" w:eastAsia="Garamond" w:hAnsi="Garamond" w:cs="Garamond"/>
        </w:rPr>
      </w:pPr>
      <w:r w:rsidRPr="00090D0D">
        <w:rPr>
          <w:rFonts w:ascii="Garamond" w:eastAsia="Garamond" w:hAnsi="Garamond" w:cs="Garamond"/>
        </w:rPr>
        <w:t xml:space="preserve">8. </w:t>
      </w:r>
      <w:r w:rsidR="043CF6DB" w:rsidRPr="00090D0D">
        <w:rPr>
          <w:rFonts w:ascii="Garamond" w:eastAsia="Garamond" w:hAnsi="Garamond" w:cs="Garamond"/>
        </w:rPr>
        <w:t>References</w:t>
      </w:r>
      <w:bookmarkEnd w:id="8"/>
    </w:p>
    <w:p w14:paraId="0FDC4421" w14:textId="30824AF2" w:rsidR="62575B24" w:rsidRPr="00090D0D" w:rsidRDefault="78E3F612" w:rsidP="00090D0D">
      <w:pPr>
        <w:spacing w:line="240" w:lineRule="auto"/>
        <w:ind w:left="720" w:hanging="720"/>
        <w:rPr>
          <w:rFonts w:ascii="Garamond" w:eastAsia="Garamond" w:hAnsi="Garamond" w:cs="Garamond"/>
        </w:rPr>
      </w:pPr>
      <w:r w:rsidRPr="00090D0D">
        <w:rPr>
          <w:rFonts w:ascii="Garamond" w:eastAsia="Garamond" w:hAnsi="Garamond" w:cs="Garamond"/>
        </w:rPr>
        <w:t xml:space="preserve">Castillo S, M., Plaza V, Á, &amp; </w:t>
      </w:r>
      <w:proofErr w:type="spellStart"/>
      <w:r w:rsidRPr="00090D0D">
        <w:rPr>
          <w:rFonts w:ascii="Garamond" w:eastAsia="Garamond" w:hAnsi="Garamond" w:cs="Garamond"/>
        </w:rPr>
        <w:t>Garfias</w:t>
      </w:r>
      <w:proofErr w:type="spellEnd"/>
      <w:r w:rsidRPr="00090D0D">
        <w:rPr>
          <w:rFonts w:ascii="Garamond" w:eastAsia="Garamond" w:hAnsi="Garamond" w:cs="Garamond"/>
        </w:rPr>
        <w:t xml:space="preserve"> S, R. (2020). A recent review of fire behavior and fire effects on native vegetation in Central Chile. Global Ecology and Conservation, 24, e01210. </w:t>
      </w:r>
      <w:bookmarkStart w:id="9" w:name="_Int_NRk8nxCa"/>
      <w:r w:rsidR="00BD5EC1">
        <w:rPr>
          <w:rFonts w:ascii="Garamond" w:eastAsia="Garamond" w:hAnsi="Garamond" w:cs="Garamond"/>
        </w:rPr>
        <w:fldChar w:fldCharType="begin"/>
      </w:r>
      <w:r w:rsidR="00BD5EC1">
        <w:rPr>
          <w:rFonts w:ascii="Garamond" w:eastAsia="Garamond" w:hAnsi="Garamond" w:cs="Garamond"/>
        </w:rPr>
        <w:instrText xml:space="preserve"> HYPERLINK "https://doi.org/</w:instrText>
      </w:r>
      <w:r w:rsidR="00BD5EC1" w:rsidRPr="00090D0D">
        <w:rPr>
          <w:rFonts w:ascii="Garamond" w:eastAsia="Garamond" w:hAnsi="Garamond" w:cs="Garamond"/>
        </w:rPr>
        <w:instrText>10.1016/j.gecco.2020.e01210</w:instrText>
      </w:r>
      <w:r w:rsidR="00BD5EC1">
        <w:rPr>
          <w:rFonts w:ascii="Garamond" w:eastAsia="Garamond" w:hAnsi="Garamond" w:cs="Garamond"/>
        </w:rPr>
        <w:instrText xml:space="preserve">" </w:instrText>
      </w:r>
      <w:r w:rsidR="00BD5EC1">
        <w:rPr>
          <w:rFonts w:ascii="Garamond" w:eastAsia="Garamond" w:hAnsi="Garamond" w:cs="Garamond"/>
        </w:rPr>
        <w:fldChar w:fldCharType="separate"/>
      </w:r>
      <w:r w:rsidR="00BD5EC1" w:rsidRPr="0041342F">
        <w:rPr>
          <w:rStyle w:val="Hyperlink"/>
          <w:rFonts w:ascii="Garamond" w:eastAsia="Garamond" w:hAnsi="Garamond" w:cs="Garamond"/>
        </w:rPr>
        <w:t>https://doi.org/10.1016/j.gecco.2020.e</w:t>
      </w:r>
      <w:bookmarkEnd w:id="9"/>
      <w:r w:rsidR="00BD5EC1" w:rsidRPr="0041342F">
        <w:rPr>
          <w:rStyle w:val="Hyperlink"/>
          <w:rFonts w:ascii="Garamond" w:eastAsia="Garamond" w:hAnsi="Garamond" w:cs="Garamond"/>
        </w:rPr>
        <w:t>01210</w:t>
      </w:r>
      <w:r w:rsidR="00BD5EC1">
        <w:rPr>
          <w:rFonts w:ascii="Garamond" w:eastAsia="Garamond" w:hAnsi="Garamond" w:cs="Garamond"/>
        </w:rPr>
        <w:fldChar w:fldCharType="end"/>
      </w:r>
      <w:r w:rsidR="00BD5EC1">
        <w:rPr>
          <w:rFonts w:ascii="Garamond" w:eastAsia="Garamond" w:hAnsi="Garamond" w:cs="Garamond"/>
        </w:rPr>
        <w:t xml:space="preserve"> </w:t>
      </w:r>
    </w:p>
    <w:p w14:paraId="6F61F7D3" w14:textId="7C769242" w:rsidR="232DBA4C" w:rsidRPr="00090D0D" w:rsidRDefault="78E3F612" w:rsidP="00090D0D">
      <w:pPr>
        <w:spacing w:after="160" w:line="240" w:lineRule="auto"/>
        <w:ind w:left="450" w:hanging="450"/>
        <w:rPr>
          <w:rFonts w:ascii="Garamond" w:eastAsia="Garamond" w:hAnsi="Garamond" w:cs="Garamond"/>
        </w:rPr>
      </w:pPr>
      <w:r w:rsidRPr="00090D0D">
        <w:rPr>
          <w:rFonts w:ascii="Garamond" w:eastAsia="Garamond" w:hAnsi="Garamond" w:cs="Garamond"/>
        </w:rPr>
        <w:t xml:space="preserve">CONAF, </w:t>
      </w:r>
      <w:r w:rsidRPr="00090D0D">
        <w:rPr>
          <w:rFonts w:ascii="Garamond" w:eastAsia="Garamond" w:hAnsi="Garamond" w:cs="Garamond"/>
          <w:i/>
          <w:iCs/>
        </w:rPr>
        <w:t xml:space="preserve">Forest Fire Detection. </w:t>
      </w:r>
      <w:hyperlink r:id="rId24">
        <w:r w:rsidRPr="00090D0D">
          <w:rPr>
            <w:rStyle w:val="Hyperlink"/>
            <w:rFonts w:ascii="Garamond" w:eastAsia="Garamond" w:hAnsi="Garamond" w:cs="Garamond"/>
            <w:color w:val="auto"/>
          </w:rPr>
          <w:t>https://www.conaf.cl/incendios-forestales/combate-de-incendios-forestales/deteccion-de-incendios-forestales/</w:t>
        </w:r>
      </w:hyperlink>
      <w:r w:rsidR="00BD5EC1">
        <w:rPr>
          <w:rStyle w:val="Hyperlink"/>
          <w:rFonts w:ascii="Garamond" w:eastAsia="Garamond" w:hAnsi="Garamond" w:cs="Garamond"/>
          <w:color w:val="auto"/>
        </w:rPr>
        <w:t xml:space="preserve"> </w:t>
      </w:r>
    </w:p>
    <w:p w14:paraId="58FFB54C" w14:textId="6F35B01A" w:rsidR="232DBA4C" w:rsidRPr="00090D0D" w:rsidRDefault="3E0BCF1E" w:rsidP="00090D0D">
      <w:pPr>
        <w:spacing w:after="160" w:line="240" w:lineRule="auto"/>
        <w:ind w:left="450" w:hanging="450"/>
        <w:rPr>
          <w:rFonts w:ascii="Garamond" w:eastAsia="Garamond" w:hAnsi="Garamond" w:cs="Garamond"/>
        </w:rPr>
      </w:pPr>
      <w:proofErr w:type="spellStart"/>
      <w:r w:rsidRPr="00090D0D">
        <w:rPr>
          <w:rFonts w:ascii="Garamond" w:eastAsia="Garamond" w:hAnsi="Garamond" w:cs="Garamond"/>
        </w:rPr>
        <w:t>F</w:t>
      </w:r>
      <w:r w:rsidR="25646BD4" w:rsidRPr="00090D0D">
        <w:rPr>
          <w:rFonts w:ascii="Garamond" w:eastAsia="Garamond" w:hAnsi="Garamond" w:cs="Garamond"/>
        </w:rPr>
        <w:t>uenzalida</w:t>
      </w:r>
      <w:proofErr w:type="spellEnd"/>
      <w:r w:rsidR="25646BD4" w:rsidRPr="00090D0D">
        <w:rPr>
          <w:rFonts w:ascii="Garamond" w:eastAsia="Garamond" w:hAnsi="Garamond" w:cs="Garamond"/>
        </w:rPr>
        <w:t xml:space="preserve">, H., Falvey, M., Rojas, M., </w:t>
      </w:r>
      <w:proofErr w:type="spellStart"/>
      <w:r w:rsidR="25646BD4" w:rsidRPr="00090D0D">
        <w:rPr>
          <w:rFonts w:ascii="Garamond" w:eastAsia="Garamond" w:hAnsi="Garamond" w:cs="Garamond"/>
        </w:rPr>
        <w:t>Aceituno</w:t>
      </w:r>
      <w:proofErr w:type="spellEnd"/>
      <w:r w:rsidR="25646BD4" w:rsidRPr="00090D0D">
        <w:rPr>
          <w:rFonts w:ascii="Garamond" w:eastAsia="Garamond" w:hAnsi="Garamond" w:cs="Garamond"/>
        </w:rPr>
        <w:t xml:space="preserve">, P., &amp; </w:t>
      </w:r>
      <w:proofErr w:type="spellStart"/>
      <w:r w:rsidR="25646BD4" w:rsidRPr="00090D0D">
        <w:rPr>
          <w:rFonts w:ascii="Garamond" w:eastAsia="Garamond" w:hAnsi="Garamond" w:cs="Garamond"/>
        </w:rPr>
        <w:t>Garreaud</w:t>
      </w:r>
      <w:proofErr w:type="spellEnd"/>
      <w:r w:rsidR="25646BD4" w:rsidRPr="00090D0D">
        <w:rPr>
          <w:rFonts w:ascii="Garamond" w:eastAsia="Garamond" w:hAnsi="Garamond" w:cs="Garamond"/>
        </w:rPr>
        <w:t xml:space="preserve">, R. (2006). </w:t>
      </w:r>
      <w:proofErr w:type="spellStart"/>
      <w:r w:rsidR="25646BD4" w:rsidRPr="00090D0D">
        <w:rPr>
          <w:rFonts w:ascii="Garamond" w:eastAsia="Garamond" w:hAnsi="Garamond" w:cs="Garamond"/>
        </w:rPr>
        <w:t>Estudio</w:t>
      </w:r>
      <w:proofErr w:type="spellEnd"/>
      <w:r w:rsidR="25646BD4" w:rsidRPr="00090D0D">
        <w:rPr>
          <w:rFonts w:ascii="Garamond" w:eastAsia="Garamond" w:hAnsi="Garamond" w:cs="Garamond"/>
        </w:rPr>
        <w:t xml:space="preserve"> de la </w:t>
      </w:r>
      <w:proofErr w:type="spellStart"/>
      <w:r w:rsidR="25646BD4" w:rsidRPr="00090D0D">
        <w:rPr>
          <w:rFonts w:ascii="Garamond" w:eastAsia="Garamond" w:hAnsi="Garamond" w:cs="Garamond"/>
        </w:rPr>
        <w:t>variabilidad</w:t>
      </w:r>
      <w:proofErr w:type="spellEnd"/>
      <w:r w:rsidR="25646BD4" w:rsidRPr="00090D0D">
        <w:rPr>
          <w:rFonts w:ascii="Garamond" w:eastAsia="Garamond" w:hAnsi="Garamond" w:cs="Garamond"/>
        </w:rPr>
        <w:t xml:space="preserve"> </w:t>
      </w:r>
      <w:proofErr w:type="spellStart"/>
      <w:r w:rsidR="25646BD4" w:rsidRPr="00090D0D">
        <w:rPr>
          <w:rFonts w:ascii="Garamond" w:eastAsia="Garamond" w:hAnsi="Garamond" w:cs="Garamond"/>
        </w:rPr>
        <w:t>climática</w:t>
      </w:r>
      <w:proofErr w:type="spellEnd"/>
      <w:r w:rsidR="25646BD4" w:rsidRPr="00090D0D">
        <w:rPr>
          <w:rFonts w:ascii="Garamond" w:eastAsia="Garamond" w:hAnsi="Garamond" w:cs="Garamond"/>
        </w:rPr>
        <w:t xml:space="preserve"> </w:t>
      </w:r>
      <w:proofErr w:type="spellStart"/>
      <w:r w:rsidR="25646BD4" w:rsidRPr="00090D0D">
        <w:rPr>
          <w:rFonts w:ascii="Garamond" w:eastAsia="Garamond" w:hAnsi="Garamond" w:cs="Garamond"/>
        </w:rPr>
        <w:t>en</w:t>
      </w:r>
      <w:proofErr w:type="spellEnd"/>
      <w:r w:rsidR="25646BD4" w:rsidRPr="00090D0D">
        <w:rPr>
          <w:rFonts w:ascii="Garamond" w:eastAsia="Garamond" w:hAnsi="Garamond" w:cs="Garamond"/>
        </w:rPr>
        <w:t xml:space="preserve"> Chile para </w:t>
      </w:r>
      <w:proofErr w:type="spellStart"/>
      <w:r w:rsidR="25646BD4" w:rsidRPr="00090D0D">
        <w:rPr>
          <w:rFonts w:ascii="Garamond" w:eastAsia="Garamond" w:hAnsi="Garamond" w:cs="Garamond"/>
        </w:rPr>
        <w:t>el</w:t>
      </w:r>
      <w:proofErr w:type="spellEnd"/>
      <w:r w:rsidR="25646BD4" w:rsidRPr="00090D0D">
        <w:rPr>
          <w:rFonts w:ascii="Garamond" w:eastAsia="Garamond" w:hAnsi="Garamond" w:cs="Garamond"/>
        </w:rPr>
        <w:t xml:space="preserve"> </w:t>
      </w:r>
      <w:proofErr w:type="spellStart"/>
      <w:r w:rsidR="25646BD4" w:rsidRPr="00090D0D">
        <w:rPr>
          <w:rFonts w:ascii="Garamond" w:eastAsia="Garamond" w:hAnsi="Garamond" w:cs="Garamond"/>
        </w:rPr>
        <w:t>siglo</w:t>
      </w:r>
      <w:proofErr w:type="spellEnd"/>
      <w:r w:rsidR="25646BD4" w:rsidRPr="00090D0D">
        <w:rPr>
          <w:rFonts w:ascii="Garamond" w:eastAsia="Garamond" w:hAnsi="Garamond" w:cs="Garamond"/>
        </w:rPr>
        <w:t xml:space="preserve"> XXI. </w:t>
      </w:r>
      <w:r w:rsidR="25646BD4" w:rsidRPr="00090D0D">
        <w:rPr>
          <w:rFonts w:ascii="Garamond" w:eastAsia="Garamond" w:hAnsi="Garamond" w:cs="Garamond"/>
          <w:i/>
          <w:iCs/>
        </w:rPr>
        <w:t>Informe para CONAMA</w:t>
      </w:r>
      <w:r w:rsidR="25646BD4" w:rsidRPr="00090D0D">
        <w:rPr>
          <w:rFonts w:ascii="Garamond" w:eastAsia="Garamond" w:hAnsi="Garamond" w:cs="Garamond"/>
        </w:rPr>
        <w:t>.</w:t>
      </w:r>
    </w:p>
    <w:p w14:paraId="30AE60F7" w14:textId="1994CC84" w:rsidR="1DC34AF4" w:rsidRPr="00090D0D" w:rsidRDefault="13919309" w:rsidP="00090D0D">
      <w:pPr>
        <w:spacing w:after="160" w:line="240" w:lineRule="auto"/>
        <w:ind w:left="450" w:hanging="450"/>
        <w:rPr>
          <w:rFonts w:ascii="Garamond" w:eastAsia="Garamond" w:hAnsi="Garamond" w:cs="Garamond"/>
        </w:rPr>
      </w:pPr>
      <w:proofErr w:type="spellStart"/>
      <w:r w:rsidRPr="00090D0D">
        <w:rPr>
          <w:rFonts w:ascii="Garamond" w:eastAsia="Garamond" w:hAnsi="Garamond" w:cs="Garamond"/>
        </w:rPr>
        <w:t>Garfias</w:t>
      </w:r>
      <w:proofErr w:type="spellEnd"/>
      <w:r w:rsidRPr="00090D0D">
        <w:rPr>
          <w:rFonts w:ascii="Garamond" w:eastAsia="Garamond" w:hAnsi="Garamond" w:cs="Garamond"/>
        </w:rPr>
        <w:t xml:space="preserve"> S., R., Castillo S., M., Ruiz G., F., Julio A., G., Quintanilla P., V., &amp; </w:t>
      </w:r>
      <w:proofErr w:type="spellStart"/>
      <w:r w:rsidRPr="00090D0D">
        <w:rPr>
          <w:rFonts w:ascii="Garamond" w:eastAsia="Garamond" w:hAnsi="Garamond" w:cs="Garamond"/>
        </w:rPr>
        <w:t>Antúnez</w:t>
      </w:r>
      <w:proofErr w:type="spellEnd"/>
      <w:r w:rsidRPr="00090D0D">
        <w:rPr>
          <w:rFonts w:ascii="Garamond" w:eastAsia="Garamond" w:hAnsi="Garamond" w:cs="Garamond"/>
        </w:rPr>
        <w:t xml:space="preserve"> G., J. (2012). </w:t>
      </w:r>
      <w:proofErr w:type="spellStart"/>
      <w:r w:rsidRPr="00090D0D">
        <w:rPr>
          <w:rFonts w:ascii="Garamond" w:eastAsia="Garamond" w:hAnsi="Garamond" w:cs="Garamond"/>
        </w:rPr>
        <w:t>Caracterización</w:t>
      </w:r>
      <w:proofErr w:type="spellEnd"/>
      <w:r w:rsidRPr="00090D0D">
        <w:rPr>
          <w:rFonts w:ascii="Garamond" w:eastAsia="Garamond" w:hAnsi="Garamond" w:cs="Garamond"/>
        </w:rPr>
        <w:t xml:space="preserve"> </w:t>
      </w:r>
      <w:proofErr w:type="spellStart"/>
      <w:r w:rsidRPr="00090D0D">
        <w:rPr>
          <w:rFonts w:ascii="Garamond" w:eastAsia="Garamond" w:hAnsi="Garamond" w:cs="Garamond"/>
        </w:rPr>
        <w:t>socioeconómica</w:t>
      </w:r>
      <w:proofErr w:type="spellEnd"/>
      <w:r w:rsidRPr="00090D0D">
        <w:rPr>
          <w:rFonts w:ascii="Garamond" w:eastAsia="Garamond" w:hAnsi="Garamond" w:cs="Garamond"/>
        </w:rPr>
        <w:t xml:space="preserve"> de la población </w:t>
      </w:r>
      <w:proofErr w:type="spellStart"/>
      <w:r w:rsidRPr="00090D0D">
        <w:rPr>
          <w:rFonts w:ascii="Garamond" w:eastAsia="Garamond" w:hAnsi="Garamond" w:cs="Garamond"/>
        </w:rPr>
        <w:t>en</w:t>
      </w:r>
      <w:proofErr w:type="spellEnd"/>
      <w:r w:rsidRPr="00090D0D">
        <w:rPr>
          <w:rFonts w:ascii="Garamond" w:eastAsia="Garamond" w:hAnsi="Garamond" w:cs="Garamond"/>
        </w:rPr>
        <w:t xml:space="preserve"> </w:t>
      </w:r>
      <w:proofErr w:type="spellStart"/>
      <w:r w:rsidRPr="00090D0D">
        <w:rPr>
          <w:rFonts w:ascii="Garamond" w:eastAsia="Garamond" w:hAnsi="Garamond" w:cs="Garamond"/>
        </w:rPr>
        <w:t>áreas</w:t>
      </w:r>
      <w:proofErr w:type="spellEnd"/>
      <w:r w:rsidRPr="00090D0D">
        <w:rPr>
          <w:rFonts w:ascii="Garamond" w:eastAsia="Garamond" w:hAnsi="Garamond" w:cs="Garamond"/>
        </w:rPr>
        <w:t xml:space="preserve"> de </w:t>
      </w:r>
      <w:proofErr w:type="spellStart"/>
      <w:r w:rsidRPr="00090D0D">
        <w:rPr>
          <w:rFonts w:ascii="Garamond" w:eastAsia="Garamond" w:hAnsi="Garamond" w:cs="Garamond"/>
        </w:rPr>
        <w:t>riesgo</w:t>
      </w:r>
      <w:proofErr w:type="spellEnd"/>
      <w:r w:rsidRPr="00090D0D">
        <w:rPr>
          <w:rFonts w:ascii="Garamond" w:eastAsia="Garamond" w:hAnsi="Garamond" w:cs="Garamond"/>
        </w:rPr>
        <w:t xml:space="preserve"> de </w:t>
      </w:r>
      <w:proofErr w:type="spellStart"/>
      <w:r w:rsidRPr="00090D0D">
        <w:rPr>
          <w:rFonts w:ascii="Garamond" w:eastAsia="Garamond" w:hAnsi="Garamond" w:cs="Garamond"/>
        </w:rPr>
        <w:t>incendios</w:t>
      </w:r>
      <w:proofErr w:type="spellEnd"/>
      <w:r w:rsidRPr="00090D0D">
        <w:rPr>
          <w:rFonts w:ascii="Garamond" w:eastAsia="Garamond" w:hAnsi="Garamond" w:cs="Garamond"/>
        </w:rPr>
        <w:t xml:space="preserve"> </w:t>
      </w:r>
      <w:proofErr w:type="spellStart"/>
      <w:r w:rsidRPr="00090D0D">
        <w:rPr>
          <w:rFonts w:ascii="Garamond" w:eastAsia="Garamond" w:hAnsi="Garamond" w:cs="Garamond"/>
        </w:rPr>
        <w:t>forestales</w:t>
      </w:r>
      <w:proofErr w:type="spellEnd"/>
      <w:r w:rsidRPr="00090D0D">
        <w:rPr>
          <w:rFonts w:ascii="Garamond" w:eastAsia="Garamond" w:hAnsi="Garamond" w:cs="Garamond"/>
        </w:rPr>
        <w:t xml:space="preserve">. </w:t>
      </w:r>
      <w:proofErr w:type="spellStart"/>
      <w:r w:rsidRPr="00090D0D">
        <w:rPr>
          <w:rFonts w:ascii="Garamond" w:eastAsia="Garamond" w:hAnsi="Garamond" w:cs="Garamond"/>
        </w:rPr>
        <w:t>Estudio</w:t>
      </w:r>
      <w:proofErr w:type="spellEnd"/>
      <w:r w:rsidRPr="00090D0D">
        <w:rPr>
          <w:rFonts w:ascii="Garamond" w:eastAsia="Garamond" w:hAnsi="Garamond" w:cs="Garamond"/>
        </w:rPr>
        <w:t xml:space="preserve"> de </w:t>
      </w:r>
      <w:proofErr w:type="spellStart"/>
      <w:r w:rsidRPr="00090D0D">
        <w:rPr>
          <w:rFonts w:ascii="Garamond" w:eastAsia="Garamond" w:hAnsi="Garamond" w:cs="Garamond"/>
        </w:rPr>
        <w:t>caso</w:t>
      </w:r>
      <w:proofErr w:type="spellEnd"/>
      <w:r w:rsidRPr="00090D0D">
        <w:rPr>
          <w:rFonts w:ascii="Garamond" w:eastAsia="Garamond" w:hAnsi="Garamond" w:cs="Garamond"/>
        </w:rPr>
        <w:t xml:space="preserve">. </w:t>
      </w:r>
      <w:proofErr w:type="spellStart"/>
      <w:r w:rsidRPr="00090D0D">
        <w:rPr>
          <w:rFonts w:ascii="Garamond" w:eastAsia="Garamond" w:hAnsi="Garamond" w:cs="Garamond"/>
        </w:rPr>
        <w:t>Interfaz</w:t>
      </w:r>
      <w:proofErr w:type="spellEnd"/>
      <w:r w:rsidRPr="00090D0D">
        <w:rPr>
          <w:rFonts w:ascii="Garamond" w:eastAsia="Garamond" w:hAnsi="Garamond" w:cs="Garamond"/>
        </w:rPr>
        <w:t xml:space="preserve"> </w:t>
      </w:r>
      <w:proofErr w:type="spellStart"/>
      <w:r w:rsidRPr="00090D0D">
        <w:rPr>
          <w:rFonts w:ascii="Garamond" w:eastAsia="Garamond" w:hAnsi="Garamond" w:cs="Garamond"/>
        </w:rPr>
        <w:t>urbano-forestal</w:t>
      </w:r>
      <w:proofErr w:type="spellEnd"/>
      <w:r w:rsidRPr="00090D0D">
        <w:rPr>
          <w:rFonts w:ascii="Garamond" w:eastAsia="Garamond" w:hAnsi="Garamond" w:cs="Garamond"/>
        </w:rPr>
        <w:t xml:space="preserve">, </w:t>
      </w:r>
      <w:proofErr w:type="spellStart"/>
      <w:r w:rsidRPr="00090D0D">
        <w:rPr>
          <w:rFonts w:ascii="Garamond" w:eastAsia="Garamond" w:hAnsi="Garamond" w:cs="Garamond"/>
        </w:rPr>
        <w:t>provincia</w:t>
      </w:r>
      <w:proofErr w:type="spellEnd"/>
      <w:r w:rsidRPr="00090D0D">
        <w:rPr>
          <w:rFonts w:ascii="Garamond" w:eastAsia="Garamond" w:hAnsi="Garamond" w:cs="Garamond"/>
        </w:rPr>
        <w:t xml:space="preserve"> de Valparaíso. Chile central.</w:t>
      </w:r>
      <w:r w:rsidRPr="00090D0D">
        <w:rPr>
          <w:rFonts w:ascii="Garamond" w:eastAsia="Garamond" w:hAnsi="Garamond" w:cs="Garamond"/>
          <w:i/>
          <w:iCs/>
        </w:rPr>
        <w:t xml:space="preserve"> </w:t>
      </w:r>
      <w:proofErr w:type="spellStart"/>
      <w:r w:rsidRPr="00090D0D">
        <w:rPr>
          <w:rFonts w:ascii="Garamond" w:eastAsia="Garamond" w:hAnsi="Garamond" w:cs="Garamond"/>
          <w:i/>
          <w:iCs/>
        </w:rPr>
        <w:t>Territorium</w:t>
      </w:r>
      <w:proofErr w:type="spellEnd"/>
      <w:r w:rsidRPr="00090D0D">
        <w:rPr>
          <w:rFonts w:ascii="Garamond" w:eastAsia="Garamond" w:hAnsi="Garamond" w:cs="Garamond"/>
          <w:i/>
          <w:iCs/>
        </w:rPr>
        <w:t xml:space="preserve">, </w:t>
      </w:r>
      <w:r w:rsidRPr="00090D0D">
        <w:rPr>
          <w:rFonts w:ascii="Garamond" w:eastAsia="Garamond" w:hAnsi="Garamond" w:cs="Garamond"/>
        </w:rPr>
        <w:t xml:space="preserve">(19), 101-109. </w:t>
      </w:r>
      <w:hyperlink r:id="rId25" w:history="1">
        <w:r w:rsidR="00BD5EC1" w:rsidRPr="0041342F">
          <w:rPr>
            <w:rStyle w:val="Hyperlink"/>
            <w:rFonts w:ascii="Garamond" w:eastAsia="Garamond" w:hAnsi="Garamond" w:cs="Garamond"/>
          </w:rPr>
          <w:t>https://doi.org/10.14195/1647-7723_19_12</w:t>
        </w:r>
      </w:hyperlink>
      <w:r w:rsidR="00BD5EC1">
        <w:rPr>
          <w:rFonts w:ascii="Garamond" w:eastAsia="Garamond" w:hAnsi="Garamond" w:cs="Garamond"/>
        </w:rPr>
        <w:t xml:space="preserve"> </w:t>
      </w:r>
    </w:p>
    <w:p w14:paraId="7EDF6832" w14:textId="150E1BBA" w:rsidR="3C6A40F0" w:rsidRPr="00090D0D" w:rsidRDefault="3C6A40F0" w:rsidP="00090D0D">
      <w:pPr>
        <w:spacing w:after="160" w:line="240" w:lineRule="auto"/>
        <w:ind w:left="450" w:hanging="450"/>
        <w:rPr>
          <w:rFonts w:ascii="Garamond" w:eastAsia="Garamond" w:hAnsi="Garamond" w:cs="Garamond"/>
        </w:rPr>
      </w:pPr>
      <w:r w:rsidRPr="00BD5EC1">
        <w:rPr>
          <w:rFonts w:ascii="Garamond" w:eastAsia="Garamond" w:hAnsi="Garamond" w:cs="Garamond"/>
        </w:rPr>
        <w:t>GOES-R Algorithm Working Group and GOES-R Series Program, (2018): NOAA GOES-R Series Geostationary Lightning Mapper (GLM) Level 2 Lightning Detection: Events, Groups, and Flashes</w:t>
      </w:r>
      <w:r w:rsidR="00CC7D1E" w:rsidRPr="00BD5EC1">
        <w:rPr>
          <w:rFonts w:ascii="Garamond" w:eastAsia="Garamond" w:hAnsi="Garamond" w:cs="Garamond"/>
        </w:rPr>
        <w:t xml:space="preserve"> (</w:t>
      </w:r>
      <w:r w:rsidRPr="00BD5EC1">
        <w:rPr>
          <w:rFonts w:ascii="Garamond" w:eastAsia="Garamond" w:hAnsi="Garamond" w:cs="Garamond"/>
        </w:rPr>
        <w:t>GLM-L2-LCFA</w:t>
      </w:r>
      <w:r w:rsidR="00CC7D1E" w:rsidRPr="00BD5EC1">
        <w:rPr>
          <w:rFonts w:ascii="Garamond" w:eastAsia="Garamond" w:hAnsi="Garamond" w:cs="Garamond"/>
        </w:rPr>
        <w:t>)</w:t>
      </w:r>
      <w:r w:rsidRPr="00BD5EC1">
        <w:rPr>
          <w:rFonts w:ascii="Garamond" w:eastAsia="Garamond" w:hAnsi="Garamond" w:cs="Garamond"/>
        </w:rPr>
        <w:t>.</w:t>
      </w:r>
      <w:r w:rsidR="00CC7D1E" w:rsidRPr="00BD5EC1">
        <w:rPr>
          <w:rFonts w:ascii="Garamond" w:eastAsia="Garamond" w:hAnsi="Garamond" w:cs="Garamond"/>
        </w:rPr>
        <w:t xml:space="preserve"> [Data set].</w:t>
      </w:r>
      <w:r w:rsidRPr="00BD5EC1">
        <w:rPr>
          <w:rFonts w:ascii="Garamond" w:eastAsia="Garamond" w:hAnsi="Garamond" w:cs="Garamond"/>
        </w:rPr>
        <w:t xml:space="preserve"> NOAA National Centers for Environmental Information. </w:t>
      </w:r>
      <w:r w:rsidR="00CC7D1E" w:rsidRPr="00BD5EC1">
        <w:rPr>
          <w:rFonts w:ascii="Garamond" w:eastAsia="Garamond" w:hAnsi="Garamond" w:cs="Garamond"/>
        </w:rPr>
        <w:t xml:space="preserve">Accessed 2022-7-6 from </w:t>
      </w:r>
      <w:hyperlink r:id="rId26" w:history="1">
        <w:r w:rsidR="00BD5EC1" w:rsidRPr="0041342F">
          <w:rPr>
            <w:rStyle w:val="Hyperlink"/>
            <w:rFonts w:ascii="Garamond" w:eastAsia="Garamond" w:hAnsi="Garamond" w:cs="Garamond"/>
          </w:rPr>
          <w:t>https://doi.org/10.7289/V5KH0KK6</w:t>
        </w:r>
      </w:hyperlink>
      <w:r w:rsidR="00BD5EC1">
        <w:rPr>
          <w:rFonts w:ascii="Garamond" w:eastAsia="Garamond" w:hAnsi="Garamond" w:cs="Garamond"/>
        </w:rPr>
        <w:t xml:space="preserve"> </w:t>
      </w:r>
    </w:p>
    <w:p w14:paraId="41352ABF" w14:textId="4F0A3D3D" w:rsidR="792C7161" w:rsidRPr="00090D0D" w:rsidRDefault="792C7161" w:rsidP="00090D0D">
      <w:pPr>
        <w:spacing w:after="160" w:line="240" w:lineRule="auto"/>
        <w:ind w:left="450" w:hanging="450"/>
        <w:rPr>
          <w:rFonts w:ascii="Garamond" w:eastAsia="Garamond" w:hAnsi="Garamond" w:cs="Garamond"/>
        </w:rPr>
      </w:pPr>
      <w:r w:rsidRPr="00090D0D">
        <w:rPr>
          <w:rFonts w:ascii="Garamond" w:eastAsia="Garamond" w:hAnsi="Garamond" w:cs="Garamond"/>
        </w:rPr>
        <w:t xml:space="preserve">González, M. E., A. Lara, R. Urrutia, and J. Bosnich. 2011. Cambio </w:t>
      </w:r>
      <w:proofErr w:type="spellStart"/>
      <w:r w:rsidRPr="00090D0D">
        <w:rPr>
          <w:rFonts w:ascii="Garamond" w:eastAsia="Garamond" w:hAnsi="Garamond" w:cs="Garamond"/>
        </w:rPr>
        <w:t>climático</w:t>
      </w:r>
      <w:proofErr w:type="spellEnd"/>
      <w:r w:rsidRPr="00090D0D">
        <w:rPr>
          <w:rFonts w:ascii="Garamond" w:eastAsia="Garamond" w:hAnsi="Garamond" w:cs="Garamond"/>
        </w:rPr>
        <w:t xml:space="preserve"> y </w:t>
      </w:r>
      <w:proofErr w:type="spellStart"/>
      <w:r w:rsidRPr="00090D0D">
        <w:rPr>
          <w:rFonts w:ascii="Garamond" w:eastAsia="Garamond" w:hAnsi="Garamond" w:cs="Garamond"/>
        </w:rPr>
        <w:t>su</w:t>
      </w:r>
      <w:proofErr w:type="spellEnd"/>
      <w:r w:rsidRPr="00090D0D">
        <w:rPr>
          <w:rFonts w:ascii="Garamond" w:eastAsia="Garamond" w:hAnsi="Garamond" w:cs="Garamond"/>
        </w:rPr>
        <w:t xml:space="preserve"> </w:t>
      </w:r>
      <w:proofErr w:type="spellStart"/>
      <w:r w:rsidRPr="00090D0D">
        <w:rPr>
          <w:rFonts w:ascii="Garamond" w:eastAsia="Garamond" w:hAnsi="Garamond" w:cs="Garamond"/>
        </w:rPr>
        <w:t>impacto</w:t>
      </w:r>
      <w:proofErr w:type="spellEnd"/>
      <w:r w:rsidRPr="00090D0D">
        <w:rPr>
          <w:rFonts w:ascii="Garamond" w:eastAsia="Garamond" w:hAnsi="Garamond" w:cs="Garamond"/>
        </w:rPr>
        <w:t xml:space="preserve"> </w:t>
      </w:r>
      <w:proofErr w:type="spellStart"/>
      <w:r w:rsidRPr="00090D0D">
        <w:rPr>
          <w:rFonts w:ascii="Garamond" w:eastAsia="Garamond" w:hAnsi="Garamond" w:cs="Garamond"/>
        </w:rPr>
        <w:t>potencial</w:t>
      </w:r>
      <w:proofErr w:type="spellEnd"/>
      <w:r w:rsidRPr="00090D0D">
        <w:rPr>
          <w:rFonts w:ascii="Garamond" w:eastAsia="Garamond" w:hAnsi="Garamond" w:cs="Garamond"/>
        </w:rPr>
        <w:t xml:space="preserve"> </w:t>
      </w:r>
      <w:proofErr w:type="spellStart"/>
      <w:r w:rsidRPr="00090D0D">
        <w:rPr>
          <w:rFonts w:ascii="Garamond" w:eastAsia="Garamond" w:hAnsi="Garamond" w:cs="Garamond"/>
        </w:rPr>
        <w:t>en</w:t>
      </w:r>
      <w:proofErr w:type="spellEnd"/>
      <w:r w:rsidRPr="00090D0D">
        <w:rPr>
          <w:rFonts w:ascii="Garamond" w:eastAsia="Garamond" w:hAnsi="Garamond" w:cs="Garamond"/>
        </w:rPr>
        <w:t xml:space="preserve"> la </w:t>
      </w:r>
      <w:proofErr w:type="spellStart"/>
      <w:r w:rsidRPr="00090D0D">
        <w:rPr>
          <w:rFonts w:ascii="Garamond" w:eastAsia="Garamond" w:hAnsi="Garamond" w:cs="Garamond"/>
        </w:rPr>
        <w:t>ocurrencia</w:t>
      </w:r>
      <w:proofErr w:type="spellEnd"/>
      <w:r w:rsidRPr="00090D0D">
        <w:rPr>
          <w:rFonts w:ascii="Garamond" w:eastAsia="Garamond" w:hAnsi="Garamond" w:cs="Garamond"/>
        </w:rPr>
        <w:t xml:space="preserve"> de </w:t>
      </w:r>
      <w:proofErr w:type="spellStart"/>
      <w:r w:rsidRPr="00090D0D">
        <w:rPr>
          <w:rFonts w:ascii="Garamond" w:eastAsia="Garamond" w:hAnsi="Garamond" w:cs="Garamond"/>
        </w:rPr>
        <w:t>incendios</w:t>
      </w:r>
      <w:proofErr w:type="spellEnd"/>
      <w:r w:rsidRPr="00090D0D">
        <w:rPr>
          <w:rFonts w:ascii="Garamond" w:eastAsia="Garamond" w:hAnsi="Garamond" w:cs="Garamond"/>
        </w:rPr>
        <w:t xml:space="preserve"> </w:t>
      </w:r>
      <w:proofErr w:type="spellStart"/>
      <w:r w:rsidRPr="00090D0D">
        <w:rPr>
          <w:rFonts w:ascii="Garamond" w:eastAsia="Garamond" w:hAnsi="Garamond" w:cs="Garamond"/>
        </w:rPr>
        <w:t>forestales</w:t>
      </w:r>
      <w:proofErr w:type="spellEnd"/>
      <w:r w:rsidRPr="00090D0D">
        <w:rPr>
          <w:rFonts w:ascii="Garamond" w:eastAsia="Garamond" w:hAnsi="Garamond" w:cs="Garamond"/>
        </w:rPr>
        <w:t xml:space="preserve"> </w:t>
      </w:r>
      <w:proofErr w:type="spellStart"/>
      <w:r w:rsidRPr="00090D0D">
        <w:rPr>
          <w:rFonts w:ascii="Garamond" w:eastAsia="Garamond" w:hAnsi="Garamond" w:cs="Garamond"/>
        </w:rPr>
        <w:t>en</w:t>
      </w:r>
      <w:proofErr w:type="spellEnd"/>
      <w:r w:rsidRPr="00090D0D">
        <w:rPr>
          <w:rFonts w:ascii="Garamond" w:eastAsia="Garamond" w:hAnsi="Garamond" w:cs="Garamond"/>
        </w:rPr>
        <w:t xml:space="preserve"> la zona </w:t>
      </w:r>
      <w:proofErr w:type="spellStart"/>
      <w:r w:rsidRPr="00090D0D">
        <w:rPr>
          <w:rFonts w:ascii="Garamond" w:eastAsia="Garamond" w:hAnsi="Garamond" w:cs="Garamond"/>
        </w:rPr>
        <w:t>centro</w:t>
      </w:r>
      <w:proofErr w:type="spellEnd"/>
      <w:r w:rsidRPr="00090D0D">
        <w:rPr>
          <w:rFonts w:ascii="Garamond" w:eastAsia="Garamond" w:hAnsi="Garamond" w:cs="Garamond"/>
        </w:rPr>
        <w:t xml:space="preserve">-sur de Chile (33°–42° S). </w:t>
      </w:r>
      <w:r w:rsidRPr="00BD5EC1">
        <w:rPr>
          <w:rFonts w:ascii="Garamond" w:eastAsia="Garamond" w:hAnsi="Garamond" w:cs="Garamond"/>
          <w:i/>
          <w:iCs/>
        </w:rPr>
        <w:t>Bosque</w:t>
      </w:r>
      <w:r w:rsidR="00CC7D1E">
        <w:rPr>
          <w:rFonts w:ascii="Garamond" w:eastAsia="Garamond" w:hAnsi="Garamond" w:cs="Garamond"/>
        </w:rPr>
        <w:t>,</w:t>
      </w:r>
      <w:r w:rsidRPr="00090D0D">
        <w:rPr>
          <w:rFonts w:ascii="Garamond" w:eastAsia="Garamond" w:hAnsi="Garamond" w:cs="Garamond"/>
        </w:rPr>
        <w:t xml:space="preserve"> </w:t>
      </w:r>
      <w:r w:rsidRPr="00BD5EC1">
        <w:rPr>
          <w:rFonts w:ascii="Garamond" w:eastAsia="Garamond" w:hAnsi="Garamond" w:cs="Garamond"/>
          <w:i/>
          <w:iCs/>
        </w:rPr>
        <w:t>32</w:t>
      </w:r>
      <w:r w:rsidR="00CC7D1E">
        <w:rPr>
          <w:rFonts w:ascii="Garamond" w:eastAsia="Garamond" w:hAnsi="Garamond" w:cs="Garamond"/>
        </w:rPr>
        <w:t>(3),</w:t>
      </w:r>
      <w:r w:rsidRPr="00090D0D">
        <w:rPr>
          <w:rFonts w:ascii="Garamond" w:eastAsia="Garamond" w:hAnsi="Garamond" w:cs="Garamond"/>
        </w:rPr>
        <w:t xml:space="preserve"> 215– 219.</w:t>
      </w:r>
      <w:r w:rsidR="00CC7D1E">
        <w:rPr>
          <w:rFonts w:ascii="Garamond" w:eastAsia="Garamond" w:hAnsi="Garamond" w:cs="Garamond"/>
        </w:rPr>
        <w:t xml:space="preserve"> </w:t>
      </w:r>
      <w:hyperlink r:id="rId27" w:history="1">
        <w:r w:rsidR="00BD5EC1" w:rsidRPr="0041342F">
          <w:rPr>
            <w:rStyle w:val="Hyperlink"/>
            <w:rFonts w:ascii="Garamond" w:eastAsia="Garamond" w:hAnsi="Garamond" w:cs="Garamond"/>
          </w:rPr>
          <w:t>http://dx.doi.org/10.4067/S0717-92002011000300002</w:t>
        </w:r>
      </w:hyperlink>
      <w:r w:rsidR="00BD5EC1">
        <w:rPr>
          <w:rFonts w:ascii="Garamond" w:eastAsia="Garamond" w:hAnsi="Garamond" w:cs="Garamond"/>
        </w:rPr>
        <w:t xml:space="preserve"> </w:t>
      </w:r>
    </w:p>
    <w:p w14:paraId="4243152E" w14:textId="325E032A" w:rsidR="3C6A40F0" w:rsidRPr="00090D0D" w:rsidRDefault="3C6A40F0" w:rsidP="00090D0D">
      <w:pPr>
        <w:spacing w:after="160" w:line="240" w:lineRule="auto"/>
        <w:ind w:left="450" w:hanging="450"/>
        <w:rPr>
          <w:rFonts w:ascii="Garamond" w:eastAsia="Garamond" w:hAnsi="Garamond" w:cs="Garamond"/>
        </w:rPr>
      </w:pPr>
      <w:proofErr w:type="spellStart"/>
      <w:r w:rsidRPr="00090D0D">
        <w:rPr>
          <w:rFonts w:ascii="Garamond" w:eastAsia="Garamond" w:hAnsi="Garamond" w:cs="Garamond"/>
        </w:rPr>
        <w:t>Hulley</w:t>
      </w:r>
      <w:proofErr w:type="spellEnd"/>
      <w:r w:rsidRPr="00090D0D">
        <w:rPr>
          <w:rFonts w:ascii="Garamond" w:eastAsia="Garamond" w:hAnsi="Garamond" w:cs="Garamond"/>
        </w:rPr>
        <w:t xml:space="preserve">, G., Hook, S. (2018). VIIRS/NPP Land Surface Temperature and Emissivity Daily L3 Global 1km SIN Grid Day V001 [Data set]. NASA EOSDIS Land Processes DAAC. Accessed 2022-08-04 from </w:t>
      </w:r>
      <w:hyperlink r:id="rId28">
        <w:r w:rsidRPr="00090D0D">
          <w:rPr>
            <w:rStyle w:val="Hyperlink"/>
            <w:rFonts w:ascii="Garamond" w:eastAsia="Garamond" w:hAnsi="Garamond" w:cs="Garamond"/>
          </w:rPr>
          <w:t>https://doi.org/10.5067/VIIRS/VNP21A1D.001</w:t>
        </w:r>
      </w:hyperlink>
    </w:p>
    <w:p w14:paraId="0080D533" w14:textId="1227AFBC" w:rsidR="3C6A40F0" w:rsidRPr="00090D0D" w:rsidRDefault="3C6A40F0" w:rsidP="00090D0D">
      <w:pPr>
        <w:spacing w:after="160" w:line="240" w:lineRule="auto"/>
        <w:ind w:left="450" w:hanging="450"/>
        <w:rPr>
          <w:rFonts w:ascii="Garamond" w:eastAsia="Garamond" w:hAnsi="Garamond" w:cs="Garamond"/>
        </w:rPr>
      </w:pPr>
      <w:r w:rsidRPr="00090D0D">
        <w:rPr>
          <w:rFonts w:ascii="Garamond" w:eastAsia="Garamond" w:hAnsi="Garamond" w:cs="Garamond"/>
        </w:rPr>
        <w:t xml:space="preserve">Schroeder, W., Giglio, L. (2018). VIIRS/NPP Thermal Anomalies/Fire Daily L3 Global 1km SIN Grid V001 [Data set]. NASA EOSDIS Land Processes DAAC. Accessed 2022-08-04 from </w:t>
      </w:r>
      <w:hyperlink r:id="rId29" w:history="1">
        <w:r w:rsidR="00BD5EC1" w:rsidRPr="0041342F">
          <w:rPr>
            <w:rStyle w:val="Hyperlink"/>
            <w:rFonts w:ascii="Garamond" w:eastAsia="Garamond" w:hAnsi="Garamond" w:cs="Garamond"/>
          </w:rPr>
          <w:t>https://doi.org/10.5067/VIIRS/VNP14A1.001</w:t>
        </w:r>
      </w:hyperlink>
      <w:r w:rsidR="00BD5EC1">
        <w:rPr>
          <w:rFonts w:ascii="Garamond" w:eastAsia="Garamond" w:hAnsi="Garamond" w:cs="Garamond"/>
        </w:rPr>
        <w:t xml:space="preserve"> </w:t>
      </w:r>
    </w:p>
    <w:p w14:paraId="02EE28A3" w14:textId="491C1E1D" w:rsidR="62575B24" w:rsidRPr="00090D0D" w:rsidRDefault="78E3F612" w:rsidP="00090D0D">
      <w:pPr>
        <w:spacing w:after="160" w:line="240" w:lineRule="auto"/>
        <w:ind w:left="450" w:hanging="450"/>
        <w:rPr>
          <w:rFonts w:ascii="Garamond" w:eastAsia="Garamond" w:hAnsi="Garamond" w:cs="Garamond"/>
        </w:rPr>
      </w:pPr>
      <w:proofErr w:type="spellStart"/>
      <w:r w:rsidRPr="00090D0D">
        <w:rPr>
          <w:rFonts w:ascii="Garamond" w:eastAsia="Garamond" w:hAnsi="Garamond" w:cs="Garamond"/>
        </w:rPr>
        <w:t>Ubeda</w:t>
      </w:r>
      <w:proofErr w:type="spellEnd"/>
      <w:r w:rsidRPr="00090D0D">
        <w:rPr>
          <w:rFonts w:ascii="Garamond" w:eastAsia="Garamond" w:hAnsi="Garamond" w:cs="Garamond"/>
        </w:rPr>
        <w:t xml:space="preserve">, X., &amp; </w:t>
      </w:r>
      <w:proofErr w:type="spellStart"/>
      <w:r w:rsidRPr="00090D0D">
        <w:rPr>
          <w:rFonts w:ascii="Garamond" w:eastAsia="Garamond" w:hAnsi="Garamond" w:cs="Garamond"/>
        </w:rPr>
        <w:t>Sarricolea</w:t>
      </w:r>
      <w:proofErr w:type="spellEnd"/>
      <w:r w:rsidRPr="00090D0D">
        <w:rPr>
          <w:rFonts w:ascii="Garamond" w:eastAsia="Garamond" w:hAnsi="Garamond" w:cs="Garamond"/>
        </w:rPr>
        <w:t>, P. (2016). Wildfires in Chile: A review.</w:t>
      </w:r>
      <w:r w:rsidRPr="00090D0D">
        <w:rPr>
          <w:rFonts w:ascii="Garamond" w:eastAsia="Garamond" w:hAnsi="Garamond" w:cs="Garamond"/>
          <w:i/>
          <w:iCs/>
        </w:rPr>
        <w:t xml:space="preserve"> Global and Planetary Change, 146</w:t>
      </w:r>
      <w:r w:rsidRPr="00090D0D">
        <w:rPr>
          <w:rFonts w:ascii="Garamond" w:eastAsia="Garamond" w:hAnsi="Garamond" w:cs="Garamond"/>
        </w:rPr>
        <w:t xml:space="preserve">, 152-161. </w:t>
      </w:r>
      <w:hyperlink r:id="rId30" w:history="1">
        <w:r w:rsidR="00BD5EC1" w:rsidRPr="0041342F">
          <w:rPr>
            <w:rStyle w:val="Hyperlink"/>
            <w:rFonts w:ascii="Garamond" w:eastAsia="Garamond" w:hAnsi="Garamond" w:cs="Garamond"/>
          </w:rPr>
          <w:t>https://doi.org/10.1016/j.gloplacha.2016.10.004</w:t>
        </w:r>
      </w:hyperlink>
      <w:r w:rsidR="00BD5EC1">
        <w:rPr>
          <w:rFonts w:ascii="Garamond" w:eastAsia="Garamond" w:hAnsi="Garamond" w:cs="Garamond"/>
        </w:rPr>
        <w:t xml:space="preserve"> </w:t>
      </w:r>
    </w:p>
    <w:p w14:paraId="64ECE7A9" w14:textId="6B18661A" w:rsidR="094F0F4F" w:rsidRPr="00BD5EC1" w:rsidRDefault="792C7161" w:rsidP="00090D0D">
      <w:pPr>
        <w:spacing w:after="160" w:line="240" w:lineRule="auto"/>
        <w:ind w:left="450" w:hanging="450"/>
        <w:rPr>
          <w:rFonts w:ascii="Garamond" w:eastAsia="Garamond" w:hAnsi="Garamond" w:cs="Garamond"/>
        </w:rPr>
      </w:pPr>
      <w:r w:rsidRPr="00090D0D">
        <w:rPr>
          <w:rFonts w:ascii="Garamond" w:eastAsia="Garamond" w:hAnsi="Garamond" w:cs="Garamond"/>
        </w:rPr>
        <w:t xml:space="preserve">Veblen, T., Burns, B., </w:t>
      </w:r>
      <w:proofErr w:type="spellStart"/>
      <w:r w:rsidRPr="00090D0D">
        <w:rPr>
          <w:rFonts w:ascii="Garamond" w:eastAsia="Garamond" w:hAnsi="Garamond" w:cs="Garamond"/>
        </w:rPr>
        <w:t>Kitzberger</w:t>
      </w:r>
      <w:proofErr w:type="spellEnd"/>
      <w:r w:rsidRPr="00090D0D">
        <w:rPr>
          <w:rFonts w:ascii="Garamond" w:eastAsia="Garamond" w:hAnsi="Garamond" w:cs="Garamond"/>
        </w:rPr>
        <w:t xml:space="preserve">, T., Lara, A., &amp; </w:t>
      </w:r>
      <w:proofErr w:type="spellStart"/>
      <w:r w:rsidRPr="00090D0D">
        <w:rPr>
          <w:rFonts w:ascii="Garamond" w:eastAsia="Garamond" w:hAnsi="Garamond" w:cs="Garamond"/>
        </w:rPr>
        <w:t>Villalba</w:t>
      </w:r>
      <w:proofErr w:type="spellEnd"/>
      <w:r w:rsidRPr="00090D0D">
        <w:rPr>
          <w:rFonts w:ascii="Garamond" w:eastAsia="Garamond" w:hAnsi="Garamond" w:cs="Garamond"/>
        </w:rPr>
        <w:t>, R. (1995). The ecology of the conifers of southern South America.</w:t>
      </w:r>
      <w:r w:rsidR="00CC7D1E">
        <w:rPr>
          <w:rFonts w:ascii="Garamond" w:eastAsia="Garamond" w:hAnsi="Garamond" w:cs="Garamond"/>
        </w:rPr>
        <w:t xml:space="preserve"> In</w:t>
      </w:r>
      <w:r w:rsidR="00BD5EC1" w:rsidRPr="00BD5EC1">
        <w:rPr>
          <w:rFonts w:ascii="Garamond" w:eastAsia="Garamond" w:hAnsi="Garamond" w:cs="Garamond"/>
        </w:rPr>
        <w:t xml:space="preserve"> </w:t>
      </w:r>
      <w:r w:rsidR="00BD5EC1">
        <w:rPr>
          <w:rFonts w:ascii="Garamond" w:eastAsia="Garamond" w:hAnsi="Garamond" w:cs="Garamond"/>
        </w:rPr>
        <w:t xml:space="preserve">N. </w:t>
      </w:r>
      <w:r w:rsidR="00BD5EC1" w:rsidRPr="00BD5EC1">
        <w:rPr>
          <w:rFonts w:ascii="Garamond" w:eastAsia="Garamond" w:hAnsi="Garamond" w:cs="Garamond"/>
        </w:rPr>
        <w:t>Enright</w:t>
      </w:r>
      <w:r w:rsidR="00BD5EC1">
        <w:rPr>
          <w:rFonts w:ascii="Garamond" w:eastAsia="Garamond" w:hAnsi="Garamond" w:cs="Garamond"/>
        </w:rPr>
        <w:t xml:space="preserve"> &amp;</w:t>
      </w:r>
      <w:r w:rsidR="00BD5EC1" w:rsidRPr="00BD5EC1">
        <w:rPr>
          <w:rFonts w:ascii="Garamond" w:eastAsia="Garamond" w:hAnsi="Garamond" w:cs="Garamond"/>
        </w:rPr>
        <w:t xml:space="preserve"> R. Hill</w:t>
      </w:r>
      <w:r w:rsidR="00BD5EC1">
        <w:rPr>
          <w:rFonts w:ascii="Garamond" w:eastAsia="Garamond" w:hAnsi="Garamond" w:cs="Garamond"/>
        </w:rPr>
        <w:t xml:space="preserve"> (Eds.), </w:t>
      </w:r>
      <w:r w:rsidR="00BD5EC1">
        <w:rPr>
          <w:rFonts w:ascii="Garamond" w:eastAsia="Garamond" w:hAnsi="Garamond" w:cs="Garamond"/>
          <w:i/>
          <w:iCs/>
        </w:rPr>
        <w:t xml:space="preserve">Ecology of the Southern Conifers </w:t>
      </w:r>
      <w:r w:rsidR="00BD5EC1">
        <w:rPr>
          <w:rFonts w:ascii="Garamond" w:eastAsia="Garamond" w:hAnsi="Garamond" w:cs="Garamond"/>
        </w:rPr>
        <w:t xml:space="preserve">(pp. 120-155). Melbourne University Press. </w:t>
      </w:r>
    </w:p>
    <w:p w14:paraId="0D04FFFE" w14:textId="1A5B8F86" w:rsidR="62575B24" w:rsidRDefault="78E3F612" w:rsidP="00090D0D">
      <w:pPr>
        <w:spacing w:after="160" w:line="240" w:lineRule="auto"/>
        <w:ind w:left="450" w:hanging="450"/>
        <w:rPr>
          <w:rFonts w:ascii="Garamond" w:eastAsia="Garamond" w:hAnsi="Garamond" w:cs="Garamond"/>
        </w:rPr>
      </w:pPr>
      <w:proofErr w:type="spellStart"/>
      <w:r w:rsidRPr="00090D0D">
        <w:rPr>
          <w:rFonts w:ascii="Garamond" w:eastAsia="Garamond" w:hAnsi="Garamond" w:cs="Garamond"/>
        </w:rPr>
        <w:lastRenderedPageBreak/>
        <w:t>Villacrés</w:t>
      </w:r>
      <w:proofErr w:type="spellEnd"/>
      <w:r w:rsidRPr="00090D0D">
        <w:rPr>
          <w:rFonts w:ascii="Garamond" w:eastAsia="Garamond" w:hAnsi="Garamond" w:cs="Garamond"/>
        </w:rPr>
        <w:t xml:space="preserve">, J., Arevalo-Ramirez, T., Fuentes, A., </w:t>
      </w:r>
      <w:proofErr w:type="spellStart"/>
      <w:r w:rsidRPr="00090D0D">
        <w:rPr>
          <w:rFonts w:ascii="Garamond" w:eastAsia="Garamond" w:hAnsi="Garamond" w:cs="Garamond"/>
        </w:rPr>
        <w:t>Reszka</w:t>
      </w:r>
      <w:proofErr w:type="spellEnd"/>
      <w:r w:rsidRPr="00090D0D">
        <w:rPr>
          <w:rFonts w:ascii="Garamond" w:eastAsia="Garamond" w:hAnsi="Garamond" w:cs="Garamond"/>
        </w:rPr>
        <w:t xml:space="preserve">, P., &amp; </w:t>
      </w:r>
      <w:proofErr w:type="spellStart"/>
      <w:r w:rsidRPr="00090D0D">
        <w:rPr>
          <w:rFonts w:ascii="Garamond" w:eastAsia="Garamond" w:hAnsi="Garamond" w:cs="Garamond"/>
        </w:rPr>
        <w:t>Auat</w:t>
      </w:r>
      <w:proofErr w:type="spellEnd"/>
      <w:r w:rsidRPr="00090D0D">
        <w:rPr>
          <w:rFonts w:ascii="Garamond" w:eastAsia="Garamond" w:hAnsi="Garamond" w:cs="Garamond"/>
        </w:rPr>
        <w:t xml:space="preserve"> </w:t>
      </w:r>
      <w:proofErr w:type="spellStart"/>
      <w:r w:rsidRPr="00090D0D">
        <w:rPr>
          <w:rFonts w:ascii="Garamond" w:eastAsia="Garamond" w:hAnsi="Garamond" w:cs="Garamond"/>
        </w:rPr>
        <w:t>Cheein</w:t>
      </w:r>
      <w:proofErr w:type="spellEnd"/>
      <w:r w:rsidRPr="00090D0D">
        <w:rPr>
          <w:rFonts w:ascii="Garamond" w:eastAsia="Garamond" w:hAnsi="Garamond" w:cs="Garamond"/>
        </w:rPr>
        <w:t xml:space="preserve">, F. (2019). Foliar </w:t>
      </w:r>
      <w:r w:rsidR="00CC7D1E">
        <w:rPr>
          <w:rFonts w:ascii="Garamond" w:eastAsia="Garamond" w:hAnsi="Garamond" w:cs="Garamond"/>
        </w:rPr>
        <w:t>m</w:t>
      </w:r>
      <w:r w:rsidRPr="00090D0D">
        <w:rPr>
          <w:rFonts w:ascii="Garamond" w:eastAsia="Garamond" w:hAnsi="Garamond" w:cs="Garamond"/>
        </w:rPr>
        <w:t xml:space="preserve">oisture </w:t>
      </w:r>
      <w:r w:rsidR="00CC7D1E">
        <w:rPr>
          <w:rFonts w:ascii="Garamond" w:eastAsia="Garamond" w:hAnsi="Garamond" w:cs="Garamond"/>
        </w:rPr>
        <w:t>c</w:t>
      </w:r>
      <w:r w:rsidRPr="00090D0D">
        <w:rPr>
          <w:rFonts w:ascii="Garamond" w:eastAsia="Garamond" w:hAnsi="Garamond" w:cs="Garamond"/>
        </w:rPr>
        <w:t xml:space="preserve">ontent from the </w:t>
      </w:r>
      <w:r w:rsidR="00CC7D1E">
        <w:rPr>
          <w:rFonts w:ascii="Garamond" w:eastAsia="Garamond" w:hAnsi="Garamond" w:cs="Garamond"/>
        </w:rPr>
        <w:t>s</w:t>
      </w:r>
      <w:r w:rsidRPr="00090D0D">
        <w:rPr>
          <w:rFonts w:ascii="Garamond" w:eastAsia="Garamond" w:hAnsi="Garamond" w:cs="Garamond"/>
        </w:rPr>
        <w:t xml:space="preserve">pectral </w:t>
      </w:r>
      <w:r w:rsidR="00CC7D1E">
        <w:rPr>
          <w:rFonts w:ascii="Garamond" w:eastAsia="Garamond" w:hAnsi="Garamond" w:cs="Garamond"/>
        </w:rPr>
        <w:t>s</w:t>
      </w:r>
      <w:r w:rsidRPr="00090D0D">
        <w:rPr>
          <w:rFonts w:ascii="Garamond" w:eastAsia="Garamond" w:hAnsi="Garamond" w:cs="Garamond"/>
        </w:rPr>
        <w:t xml:space="preserve">ignature for </w:t>
      </w:r>
      <w:r w:rsidR="00CC7D1E">
        <w:rPr>
          <w:rFonts w:ascii="Garamond" w:eastAsia="Garamond" w:hAnsi="Garamond" w:cs="Garamond"/>
        </w:rPr>
        <w:t>w</w:t>
      </w:r>
      <w:r w:rsidRPr="00090D0D">
        <w:rPr>
          <w:rFonts w:ascii="Garamond" w:eastAsia="Garamond" w:hAnsi="Garamond" w:cs="Garamond"/>
        </w:rPr>
        <w:t xml:space="preserve">ildfire </w:t>
      </w:r>
      <w:r w:rsidR="00CC7D1E">
        <w:rPr>
          <w:rFonts w:ascii="Garamond" w:eastAsia="Garamond" w:hAnsi="Garamond" w:cs="Garamond"/>
        </w:rPr>
        <w:t>r</w:t>
      </w:r>
      <w:r w:rsidRPr="00090D0D">
        <w:rPr>
          <w:rFonts w:ascii="Garamond" w:eastAsia="Garamond" w:hAnsi="Garamond" w:cs="Garamond"/>
        </w:rPr>
        <w:t xml:space="preserve">isk </w:t>
      </w:r>
      <w:r w:rsidR="00CC7D1E">
        <w:rPr>
          <w:rFonts w:ascii="Garamond" w:eastAsia="Garamond" w:hAnsi="Garamond" w:cs="Garamond"/>
        </w:rPr>
        <w:t>a</w:t>
      </w:r>
      <w:r w:rsidRPr="00090D0D">
        <w:rPr>
          <w:rFonts w:ascii="Garamond" w:eastAsia="Garamond" w:hAnsi="Garamond" w:cs="Garamond"/>
        </w:rPr>
        <w:t>ssessments in Valparaíso-Chile.</w:t>
      </w:r>
      <w:r w:rsidRPr="00090D0D">
        <w:rPr>
          <w:rFonts w:ascii="Garamond" w:eastAsia="Garamond" w:hAnsi="Garamond" w:cs="Garamond"/>
          <w:i/>
          <w:iCs/>
        </w:rPr>
        <w:t xml:space="preserve"> Sensors, 19</w:t>
      </w:r>
      <w:r w:rsidRPr="00090D0D">
        <w:rPr>
          <w:rFonts w:ascii="Garamond" w:eastAsia="Garamond" w:hAnsi="Garamond" w:cs="Garamond"/>
        </w:rPr>
        <w:t xml:space="preserve">(24), 5475. </w:t>
      </w:r>
      <w:hyperlink r:id="rId31" w:history="1">
        <w:r w:rsidR="00BD5EC1" w:rsidRPr="0041342F">
          <w:rPr>
            <w:rStyle w:val="Hyperlink"/>
            <w:rFonts w:ascii="Garamond" w:eastAsia="Garamond" w:hAnsi="Garamond" w:cs="Garamond"/>
          </w:rPr>
          <w:t>https://doi.org/10.3390/s19245475</w:t>
        </w:r>
      </w:hyperlink>
    </w:p>
    <w:p w14:paraId="3E8E0429" w14:textId="6413ACE4" w:rsidR="00BD5EC1" w:rsidRPr="00BD5EC1" w:rsidRDefault="00BD5EC1" w:rsidP="00090D0D">
      <w:pPr>
        <w:spacing w:after="160" w:line="240" w:lineRule="auto"/>
        <w:ind w:left="450" w:hanging="450"/>
        <w:rPr>
          <w:rFonts w:ascii="Garamond" w:eastAsia="Garamond" w:hAnsi="Garamond" w:cs="Garamond"/>
        </w:rPr>
      </w:pPr>
      <w:proofErr w:type="spellStart"/>
      <w:r w:rsidRPr="5CFCAD25">
        <w:rPr>
          <w:rFonts w:ascii="Garamond" w:eastAsia="Garamond" w:hAnsi="Garamond" w:cs="Garamond"/>
        </w:rPr>
        <w:t>Úbeda</w:t>
      </w:r>
      <w:proofErr w:type="spellEnd"/>
      <w:r>
        <w:rPr>
          <w:rFonts w:ascii="Garamond" w:eastAsia="Garamond" w:hAnsi="Garamond" w:cs="Garamond"/>
        </w:rPr>
        <w:t>, X.,</w:t>
      </w:r>
      <w:r w:rsidRPr="5CFCAD25">
        <w:rPr>
          <w:rFonts w:ascii="Garamond" w:eastAsia="Garamond" w:hAnsi="Garamond" w:cs="Garamond"/>
        </w:rPr>
        <w:t xml:space="preserve"> &amp; </w:t>
      </w:r>
      <w:proofErr w:type="spellStart"/>
      <w:r w:rsidRPr="5CFCAD25">
        <w:rPr>
          <w:rFonts w:ascii="Garamond" w:eastAsia="Garamond" w:hAnsi="Garamond" w:cs="Garamond"/>
        </w:rPr>
        <w:t>Sarricole</w:t>
      </w:r>
      <w:proofErr w:type="spellEnd"/>
      <w:r>
        <w:rPr>
          <w:rFonts w:ascii="Garamond" w:eastAsia="Garamond" w:hAnsi="Garamond" w:cs="Garamond"/>
        </w:rPr>
        <w:t xml:space="preserve">, P. (2016). Wildfires in Chile: A review. </w:t>
      </w:r>
      <w:r>
        <w:rPr>
          <w:rFonts w:ascii="Garamond" w:eastAsia="Garamond" w:hAnsi="Garamond" w:cs="Garamond"/>
          <w:i/>
          <w:iCs/>
        </w:rPr>
        <w:t>Global and Planetary Change, 146</w:t>
      </w:r>
      <w:r>
        <w:rPr>
          <w:rFonts w:ascii="Garamond" w:eastAsia="Garamond" w:hAnsi="Garamond" w:cs="Garamond"/>
        </w:rPr>
        <w:t xml:space="preserve">, 152-161. </w:t>
      </w:r>
      <w:hyperlink r:id="rId32" w:history="1">
        <w:r w:rsidRPr="0041342F">
          <w:rPr>
            <w:rStyle w:val="Hyperlink"/>
            <w:rFonts w:ascii="Garamond" w:eastAsia="Garamond" w:hAnsi="Garamond" w:cs="Garamond"/>
          </w:rPr>
          <w:t>https://doi.org/10.1016/j.gloplacha.2016.10.004</w:t>
        </w:r>
      </w:hyperlink>
      <w:r>
        <w:rPr>
          <w:rFonts w:ascii="Garamond" w:eastAsia="Garamond" w:hAnsi="Garamond" w:cs="Garamond"/>
        </w:rPr>
        <w:t xml:space="preserve"> </w:t>
      </w:r>
    </w:p>
    <w:p w14:paraId="1B9E1046" w14:textId="4F7DBB10" w:rsidR="3DB6F5BD" w:rsidRPr="00090D0D" w:rsidRDefault="3C6A40F0" w:rsidP="00090D0D">
      <w:pPr>
        <w:spacing w:beforeAutospacing="1" w:after="160" w:afterAutospacing="1" w:line="240" w:lineRule="auto"/>
        <w:ind w:left="450" w:hanging="450"/>
        <w:rPr>
          <w:rFonts w:ascii="Garamond" w:eastAsia="Garamond" w:hAnsi="Garamond" w:cs="Garamond"/>
        </w:rPr>
      </w:pPr>
      <w:r w:rsidRPr="00090D0D">
        <w:rPr>
          <w:rFonts w:ascii="Garamond" w:eastAsia="Garamond" w:hAnsi="Garamond" w:cs="Garamond"/>
          <w:color w:val="000000" w:themeColor="text1"/>
        </w:rPr>
        <w:t xml:space="preserve">U.S. Geological Survey Earth Resources Observations and Science Center. (2018). Landsat OLI Level-1 Surface Reflectance (SR). </w:t>
      </w:r>
      <w:r w:rsidR="00BD5EC1">
        <w:rPr>
          <w:rFonts w:ascii="Garamond" w:eastAsia="Garamond" w:hAnsi="Garamond" w:cs="Garamond"/>
          <w:color w:val="000000" w:themeColor="text1"/>
        </w:rPr>
        <w:t>[Data set]</w:t>
      </w:r>
      <w:r w:rsidRPr="00090D0D">
        <w:rPr>
          <w:rFonts w:ascii="Garamond" w:eastAsia="Garamond" w:hAnsi="Garamond" w:cs="Garamond"/>
          <w:color w:val="000000" w:themeColor="text1"/>
        </w:rPr>
        <w:t xml:space="preserve">. U.S. Geological Survey. </w:t>
      </w:r>
      <w:hyperlink r:id="rId33">
        <w:r w:rsidRPr="00090D0D">
          <w:rPr>
            <w:rStyle w:val="Hyperlink"/>
            <w:rFonts w:ascii="Garamond" w:eastAsia="Garamond" w:hAnsi="Garamond" w:cs="Garamond"/>
          </w:rPr>
          <w:t>https://doi.org/10.5066/F71835S6</w:t>
        </w:r>
      </w:hyperlink>
    </w:p>
    <w:p w14:paraId="22CBE4CE" w14:textId="2934E2B2" w:rsidR="00B068FE" w:rsidRPr="00090D0D" w:rsidRDefault="00B068FE" w:rsidP="00B068FE">
      <w:pPr>
        <w:pStyle w:val="ListParagraph"/>
        <w:spacing w:line="240" w:lineRule="auto"/>
        <w:rPr>
          <w:rFonts w:ascii="Garamond" w:eastAsia="Garamond" w:hAnsi="Garamond" w:cs="Garamond"/>
          <w:color w:val="000000" w:themeColor="text1"/>
        </w:rPr>
      </w:pPr>
    </w:p>
    <w:p w14:paraId="18BF2CBD" w14:textId="2934E2B2" w:rsidR="3C6A40F0" w:rsidRPr="00090D0D" w:rsidRDefault="3C6A40F0" w:rsidP="3C6A40F0">
      <w:pPr>
        <w:spacing w:line="240" w:lineRule="auto"/>
        <w:rPr>
          <w:rFonts w:ascii="Garamond" w:eastAsia="Garamond" w:hAnsi="Garamond" w:cs="Garamond"/>
          <w:color w:val="000000" w:themeColor="text1"/>
        </w:rPr>
      </w:pPr>
    </w:p>
    <w:sectPr w:rsidR="3C6A40F0" w:rsidRPr="00090D0D" w:rsidSect="0064280B">
      <w:headerReference w:type="default" r:id="rId34"/>
      <w:footerReference w:type="default" r:id="rId35"/>
      <w:headerReference w:type="first" r:id="rId36"/>
      <w:footerReference w:type="first" r:id="rId3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506DF" w14:textId="77777777" w:rsidR="008A06FA" w:rsidRDefault="008A06FA" w:rsidP="00242822">
      <w:pPr>
        <w:spacing w:after="0" w:line="240" w:lineRule="auto"/>
      </w:pPr>
      <w:r>
        <w:separator/>
      </w:r>
    </w:p>
  </w:endnote>
  <w:endnote w:type="continuationSeparator" w:id="0">
    <w:p w14:paraId="4049DC85" w14:textId="77777777" w:rsidR="008A06FA" w:rsidRDefault="008A06FA" w:rsidP="00242822">
      <w:pPr>
        <w:spacing w:after="0" w:line="240" w:lineRule="auto"/>
      </w:pPr>
      <w:r>
        <w:continuationSeparator/>
      </w:r>
    </w:p>
  </w:endnote>
  <w:endnote w:type="continuationNotice" w:id="1">
    <w:p w14:paraId="7B59DA13" w14:textId="77777777" w:rsidR="008A06FA" w:rsidRDefault="008A06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color w:val="2B579A"/>
            <w:shd w:val="clear" w:color="auto" w:fill="E6E6E6"/>
          </w:rPr>
          <w:fldChar w:fldCharType="begin"/>
        </w:r>
        <w:r w:rsidR="0064280B"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8D4B2B">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36EF6" w14:textId="77777777" w:rsidR="008A06FA" w:rsidRDefault="008A06FA" w:rsidP="00242822">
      <w:pPr>
        <w:spacing w:after="0" w:line="240" w:lineRule="auto"/>
      </w:pPr>
      <w:r>
        <w:separator/>
      </w:r>
    </w:p>
  </w:footnote>
  <w:footnote w:type="continuationSeparator" w:id="0">
    <w:p w14:paraId="491363F2" w14:textId="77777777" w:rsidR="008A06FA" w:rsidRDefault="008A06FA" w:rsidP="00242822">
      <w:pPr>
        <w:spacing w:after="0" w:line="240" w:lineRule="auto"/>
      </w:pPr>
      <w:r>
        <w:continuationSeparator/>
      </w:r>
    </w:p>
  </w:footnote>
  <w:footnote w:type="continuationNotice" w:id="1">
    <w:p w14:paraId="51999910" w14:textId="77777777" w:rsidR="008A06FA" w:rsidRDefault="008A06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6165842" w:rsidR="000B6E68" w:rsidRPr="000B6E68" w:rsidRDefault="0077554A" w:rsidP="66CD4691">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3C6A40F0" w:rsidRPr="3C6A40F0">
      <w:rPr>
        <w:rFonts w:ascii="Garamond" w:hAnsi="Garamond"/>
        <w:b/>
        <w:bCs/>
        <w:sz w:val="32"/>
        <w:szCs w:val="32"/>
      </w:rPr>
      <w:t>Virginia – Langley</w:t>
    </w:r>
  </w:p>
  <w:p w14:paraId="77B49D9A" w14:textId="6E5B7F02" w:rsidR="005F6AD4" w:rsidRDefault="6B27187E" w:rsidP="6B27187E">
    <w:pPr>
      <w:pStyle w:val="Header"/>
      <w:jc w:val="right"/>
      <w:rPr>
        <w:rFonts w:ascii="Garamond" w:hAnsi="Garamond"/>
        <w:i/>
        <w:iCs/>
        <w:sz w:val="32"/>
        <w:szCs w:val="32"/>
      </w:rPr>
    </w:pPr>
    <w:r w:rsidRPr="6B27187E">
      <w:rPr>
        <w:rFonts w:ascii="Garamond" w:hAnsi="Garamond"/>
        <w:i/>
        <w:iCs/>
        <w:sz w:val="32"/>
        <w:szCs w:val="32"/>
      </w:rPr>
      <w:t xml:space="preserve"> Summer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dyI2WgB6sMvgD8" int2:id="GgL51ofr">
      <int2:state int2:value="Rejected" int2:type="LegacyProofing"/>
    </int2:textHash>
    <int2:textHash int2:hashCode="B8n5CipGpjXBbs" int2:id="tBLfShkF">
      <int2:state int2:value="Rejected" int2:type="LegacyProofing"/>
    </int2:textHash>
    <int2:textHash int2:hashCode="acBmN2PlQRSPCk" int2:id="ucg88QkV">
      <int2:state int2:value="Rejected" int2:type="LegacyProofing"/>
    </int2:textHash>
    <int2:textHash int2:hashCode="M155EOlJl9n3O3" int2:id="73QPzIeZ">
      <int2:state int2:value="Rejected" int2:type="LegacyProofing"/>
    </int2:textHash>
    <int2:textHash int2:hashCode="BC3EUS+j05HFFw" int2:id="QzqRpMCL">
      <int2:state int2:value="Rejected" int2:type="LegacyProofing"/>
    </int2:textHash>
    <int2:textHash int2:hashCode="lO8lV6avFjML3l" int2:id="QR6WZP20">
      <int2:state int2:value="Rejected" int2:type="LegacyProofing"/>
    </int2:textHash>
    <int2:textHash int2:hashCode="Yvt8ucTBxaMBrG" int2:id="umZzvYFR">
      <int2:state int2:value="Rejected" int2:type="LegacyProofing"/>
    </int2:textHash>
    <int2:textHash int2:hashCode="VudC0iZq9zv1S6" int2:id="qoTtZruW">
      <int2:state int2:value="Rejected" int2:type="LegacyProofing"/>
    </int2:textHash>
    <int2:textHash int2:hashCode="3h3a2/j6Sqygy8" int2:id="7lgvqjt8">
      <int2:state int2:value="Rejected" int2:type="LegacyProofing"/>
    </int2:textHash>
    <int2:textHash int2:hashCode="jTnxasLqzTOAFq" int2:id="YqcEFUPW">
      <int2:state int2:value="Rejected" int2:type="LegacyProofing"/>
    </int2:textHash>
    <int2:textHash int2:hashCode="j9llMwssEX2ZfW" int2:id="v93bB8Eq">
      <int2:state int2:value="Rejected" int2:type="LegacyProofing"/>
    </int2:textHash>
    <int2:textHash int2:hashCode="hGJ7HU6K/sI4Sz" int2:id="7Dawzdlx">
      <int2:state int2:value="Rejected" int2:type="LegacyProofing"/>
    </int2:textHash>
    <int2:bookmark int2:bookmarkName="_Int_PfESFxVe" int2:invalidationBookmarkName="" int2:hashCode="oxXe4L0i9FJl9n" int2:id="VyWNi5OY">
      <int2:state int2:value="Rejected" int2:type="LegacyProofing"/>
    </int2:bookmark>
    <int2:bookmark int2:bookmarkName="_Int_NRk8nxCa" int2:invalidationBookmarkName="" int2:hashCode="/Qh3KKo6Ljj3w6" int2:id="XkXthMEQ">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8237741"/>
    <w:multiLevelType w:val="hybridMultilevel"/>
    <w:tmpl w:val="5A2813FC"/>
    <w:lvl w:ilvl="0" w:tplc="FE06E2B6">
      <w:start w:val="1"/>
      <w:numFmt w:val="bullet"/>
      <w:lvlText w:val=""/>
      <w:lvlJc w:val="left"/>
      <w:pPr>
        <w:ind w:left="720" w:hanging="360"/>
      </w:pPr>
      <w:rPr>
        <w:rFonts w:ascii="Symbol" w:hAnsi="Symbol" w:hint="default"/>
      </w:rPr>
    </w:lvl>
    <w:lvl w:ilvl="1" w:tplc="F4AC2500">
      <w:start w:val="1"/>
      <w:numFmt w:val="bullet"/>
      <w:lvlText w:val="o"/>
      <w:lvlJc w:val="left"/>
      <w:pPr>
        <w:ind w:left="1440" w:hanging="360"/>
      </w:pPr>
      <w:rPr>
        <w:rFonts w:ascii="Courier New" w:hAnsi="Courier New" w:hint="default"/>
      </w:rPr>
    </w:lvl>
    <w:lvl w:ilvl="2" w:tplc="C2061202">
      <w:start w:val="1"/>
      <w:numFmt w:val="bullet"/>
      <w:lvlText w:val=""/>
      <w:lvlJc w:val="left"/>
      <w:pPr>
        <w:ind w:left="2160" w:hanging="360"/>
      </w:pPr>
      <w:rPr>
        <w:rFonts w:ascii="Wingdings" w:hAnsi="Wingdings" w:hint="default"/>
      </w:rPr>
    </w:lvl>
    <w:lvl w:ilvl="3" w:tplc="5D5ABC20">
      <w:start w:val="1"/>
      <w:numFmt w:val="bullet"/>
      <w:lvlText w:val=""/>
      <w:lvlJc w:val="left"/>
      <w:pPr>
        <w:ind w:left="2880" w:hanging="360"/>
      </w:pPr>
      <w:rPr>
        <w:rFonts w:ascii="Symbol" w:hAnsi="Symbol" w:hint="default"/>
      </w:rPr>
    </w:lvl>
    <w:lvl w:ilvl="4" w:tplc="A0BA9780">
      <w:start w:val="1"/>
      <w:numFmt w:val="bullet"/>
      <w:lvlText w:val="o"/>
      <w:lvlJc w:val="left"/>
      <w:pPr>
        <w:ind w:left="3600" w:hanging="360"/>
      </w:pPr>
      <w:rPr>
        <w:rFonts w:ascii="Courier New" w:hAnsi="Courier New" w:hint="default"/>
      </w:rPr>
    </w:lvl>
    <w:lvl w:ilvl="5" w:tplc="878C987A">
      <w:start w:val="1"/>
      <w:numFmt w:val="bullet"/>
      <w:lvlText w:val=""/>
      <w:lvlJc w:val="left"/>
      <w:pPr>
        <w:ind w:left="4320" w:hanging="360"/>
      </w:pPr>
      <w:rPr>
        <w:rFonts w:ascii="Wingdings" w:hAnsi="Wingdings" w:hint="default"/>
      </w:rPr>
    </w:lvl>
    <w:lvl w:ilvl="6" w:tplc="0A1AD9D6">
      <w:start w:val="1"/>
      <w:numFmt w:val="bullet"/>
      <w:lvlText w:val=""/>
      <w:lvlJc w:val="left"/>
      <w:pPr>
        <w:ind w:left="5040" w:hanging="360"/>
      </w:pPr>
      <w:rPr>
        <w:rFonts w:ascii="Symbol" w:hAnsi="Symbol" w:hint="default"/>
      </w:rPr>
    </w:lvl>
    <w:lvl w:ilvl="7" w:tplc="AA0AD648">
      <w:start w:val="1"/>
      <w:numFmt w:val="bullet"/>
      <w:lvlText w:val="o"/>
      <w:lvlJc w:val="left"/>
      <w:pPr>
        <w:ind w:left="5760" w:hanging="360"/>
      </w:pPr>
      <w:rPr>
        <w:rFonts w:ascii="Courier New" w:hAnsi="Courier New" w:hint="default"/>
      </w:rPr>
    </w:lvl>
    <w:lvl w:ilvl="8" w:tplc="23BE92F8">
      <w:start w:val="1"/>
      <w:numFmt w:val="bullet"/>
      <w:lvlText w:val=""/>
      <w:lvlJc w:val="left"/>
      <w:pPr>
        <w:ind w:left="6480" w:hanging="360"/>
      </w:pPr>
      <w:rPr>
        <w:rFonts w:ascii="Wingdings" w:hAnsi="Wingdings" w:hint="default"/>
      </w:r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1D30E6B6"/>
    <w:multiLevelType w:val="hybridMultilevel"/>
    <w:tmpl w:val="4414195E"/>
    <w:lvl w:ilvl="0" w:tplc="A4FA8022">
      <w:start w:val="1"/>
      <w:numFmt w:val="bullet"/>
      <w:lvlText w:val=""/>
      <w:lvlJc w:val="left"/>
      <w:pPr>
        <w:ind w:left="720" w:hanging="360"/>
      </w:pPr>
      <w:rPr>
        <w:rFonts w:ascii="Symbol" w:hAnsi="Symbol" w:hint="default"/>
      </w:rPr>
    </w:lvl>
    <w:lvl w:ilvl="1" w:tplc="3ACE7EF2">
      <w:start w:val="1"/>
      <w:numFmt w:val="bullet"/>
      <w:lvlText w:val="o"/>
      <w:lvlJc w:val="left"/>
      <w:pPr>
        <w:ind w:left="1440" w:hanging="360"/>
      </w:pPr>
      <w:rPr>
        <w:rFonts w:ascii="Courier New" w:hAnsi="Courier New" w:hint="default"/>
      </w:rPr>
    </w:lvl>
    <w:lvl w:ilvl="2" w:tplc="ADA2CD9A">
      <w:start w:val="1"/>
      <w:numFmt w:val="bullet"/>
      <w:lvlText w:val=""/>
      <w:lvlJc w:val="left"/>
      <w:pPr>
        <w:ind w:left="2160" w:hanging="360"/>
      </w:pPr>
      <w:rPr>
        <w:rFonts w:ascii="Wingdings" w:hAnsi="Wingdings" w:hint="default"/>
      </w:rPr>
    </w:lvl>
    <w:lvl w:ilvl="3" w:tplc="04B63E44">
      <w:start w:val="1"/>
      <w:numFmt w:val="bullet"/>
      <w:lvlText w:val=""/>
      <w:lvlJc w:val="left"/>
      <w:pPr>
        <w:ind w:left="2880" w:hanging="360"/>
      </w:pPr>
      <w:rPr>
        <w:rFonts w:ascii="Symbol" w:hAnsi="Symbol" w:hint="default"/>
      </w:rPr>
    </w:lvl>
    <w:lvl w:ilvl="4" w:tplc="38DEF5EC">
      <w:start w:val="1"/>
      <w:numFmt w:val="bullet"/>
      <w:lvlText w:val="o"/>
      <w:lvlJc w:val="left"/>
      <w:pPr>
        <w:ind w:left="3600" w:hanging="360"/>
      </w:pPr>
      <w:rPr>
        <w:rFonts w:ascii="Courier New" w:hAnsi="Courier New" w:hint="default"/>
      </w:rPr>
    </w:lvl>
    <w:lvl w:ilvl="5" w:tplc="079C330A">
      <w:start w:val="1"/>
      <w:numFmt w:val="bullet"/>
      <w:lvlText w:val=""/>
      <w:lvlJc w:val="left"/>
      <w:pPr>
        <w:ind w:left="4320" w:hanging="360"/>
      </w:pPr>
      <w:rPr>
        <w:rFonts w:ascii="Wingdings" w:hAnsi="Wingdings" w:hint="default"/>
      </w:rPr>
    </w:lvl>
    <w:lvl w:ilvl="6" w:tplc="59B27232">
      <w:start w:val="1"/>
      <w:numFmt w:val="bullet"/>
      <w:lvlText w:val=""/>
      <w:lvlJc w:val="left"/>
      <w:pPr>
        <w:ind w:left="5040" w:hanging="360"/>
      </w:pPr>
      <w:rPr>
        <w:rFonts w:ascii="Symbol" w:hAnsi="Symbol" w:hint="default"/>
      </w:rPr>
    </w:lvl>
    <w:lvl w:ilvl="7" w:tplc="63FA099E">
      <w:start w:val="1"/>
      <w:numFmt w:val="bullet"/>
      <w:lvlText w:val="o"/>
      <w:lvlJc w:val="left"/>
      <w:pPr>
        <w:ind w:left="5760" w:hanging="360"/>
      </w:pPr>
      <w:rPr>
        <w:rFonts w:ascii="Courier New" w:hAnsi="Courier New" w:hint="default"/>
      </w:rPr>
    </w:lvl>
    <w:lvl w:ilvl="8" w:tplc="6D14F7B8">
      <w:start w:val="1"/>
      <w:numFmt w:val="bullet"/>
      <w:lvlText w:val=""/>
      <w:lvlJc w:val="left"/>
      <w:pPr>
        <w:ind w:left="6480" w:hanging="360"/>
      </w:pPr>
      <w:rPr>
        <w:rFonts w:ascii="Wingdings" w:hAnsi="Wingdings" w:hint="default"/>
      </w:rPr>
    </w:lvl>
  </w:abstractNum>
  <w:abstractNum w:abstractNumId="5"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6"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7" w15:restartNumberingAfterBreak="0">
    <w:nsid w:val="38498949"/>
    <w:multiLevelType w:val="hybridMultilevel"/>
    <w:tmpl w:val="5936E770"/>
    <w:lvl w:ilvl="0" w:tplc="62BC4BFA">
      <w:start w:val="1"/>
      <w:numFmt w:val="bullet"/>
      <w:lvlText w:val=""/>
      <w:lvlJc w:val="left"/>
      <w:pPr>
        <w:ind w:left="720" w:hanging="360"/>
      </w:pPr>
      <w:rPr>
        <w:rFonts w:ascii="Symbol" w:hAnsi="Symbol" w:hint="default"/>
      </w:rPr>
    </w:lvl>
    <w:lvl w:ilvl="1" w:tplc="0412893C">
      <w:start w:val="1"/>
      <w:numFmt w:val="bullet"/>
      <w:lvlText w:val="o"/>
      <w:lvlJc w:val="left"/>
      <w:pPr>
        <w:ind w:left="1440" w:hanging="360"/>
      </w:pPr>
      <w:rPr>
        <w:rFonts w:ascii="Courier New" w:hAnsi="Courier New" w:hint="default"/>
      </w:rPr>
    </w:lvl>
    <w:lvl w:ilvl="2" w:tplc="2D4E7556">
      <w:start w:val="1"/>
      <w:numFmt w:val="bullet"/>
      <w:lvlText w:val=""/>
      <w:lvlJc w:val="left"/>
      <w:pPr>
        <w:ind w:left="2160" w:hanging="360"/>
      </w:pPr>
      <w:rPr>
        <w:rFonts w:ascii="Wingdings" w:hAnsi="Wingdings" w:hint="default"/>
      </w:rPr>
    </w:lvl>
    <w:lvl w:ilvl="3" w:tplc="04E04ACC">
      <w:start w:val="1"/>
      <w:numFmt w:val="bullet"/>
      <w:lvlText w:val=""/>
      <w:lvlJc w:val="left"/>
      <w:pPr>
        <w:ind w:left="2880" w:hanging="360"/>
      </w:pPr>
      <w:rPr>
        <w:rFonts w:ascii="Symbol" w:hAnsi="Symbol" w:hint="default"/>
      </w:rPr>
    </w:lvl>
    <w:lvl w:ilvl="4" w:tplc="C4C0B356">
      <w:start w:val="1"/>
      <w:numFmt w:val="bullet"/>
      <w:lvlText w:val="o"/>
      <w:lvlJc w:val="left"/>
      <w:pPr>
        <w:ind w:left="3600" w:hanging="360"/>
      </w:pPr>
      <w:rPr>
        <w:rFonts w:ascii="Courier New" w:hAnsi="Courier New" w:hint="default"/>
      </w:rPr>
    </w:lvl>
    <w:lvl w:ilvl="5" w:tplc="70086B04">
      <w:start w:val="1"/>
      <w:numFmt w:val="bullet"/>
      <w:lvlText w:val=""/>
      <w:lvlJc w:val="left"/>
      <w:pPr>
        <w:ind w:left="4320" w:hanging="360"/>
      </w:pPr>
      <w:rPr>
        <w:rFonts w:ascii="Wingdings" w:hAnsi="Wingdings" w:hint="default"/>
      </w:rPr>
    </w:lvl>
    <w:lvl w:ilvl="6" w:tplc="FA8ECCC0">
      <w:start w:val="1"/>
      <w:numFmt w:val="bullet"/>
      <w:lvlText w:val=""/>
      <w:lvlJc w:val="left"/>
      <w:pPr>
        <w:ind w:left="5040" w:hanging="360"/>
      </w:pPr>
      <w:rPr>
        <w:rFonts w:ascii="Symbol" w:hAnsi="Symbol" w:hint="default"/>
      </w:rPr>
    </w:lvl>
    <w:lvl w:ilvl="7" w:tplc="867A5DA2">
      <w:start w:val="1"/>
      <w:numFmt w:val="bullet"/>
      <w:lvlText w:val="o"/>
      <w:lvlJc w:val="left"/>
      <w:pPr>
        <w:ind w:left="5760" w:hanging="360"/>
      </w:pPr>
      <w:rPr>
        <w:rFonts w:ascii="Courier New" w:hAnsi="Courier New" w:hint="default"/>
      </w:rPr>
    </w:lvl>
    <w:lvl w:ilvl="8" w:tplc="9F1A2680">
      <w:start w:val="1"/>
      <w:numFmt w:val="bullet"/>
      <w:lvlText w:val=""/>
      <w:lvlJc w:val="left"/>
      <w:pPr>
        <w:ind w:left="6480" w:hanging="360"/>
      </w:pPr>
      <w:rPr>
        <w:rFonts w:ascii="Wingdings" w:hAnsi="Wingdings" w:hint="default"/>
      </w:rPr>
    </w:lvl>
  </w:abstractNum>
  <w:abstractNum w:abstractNumId="8"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9" w15:restartNumberingAfterBreak="0">
    <w:nsid w:val="3BB5646E"/>
    <w:multiLevelType w:val="hybridMultilevel"/>
    <w:tmpl w:val="F92CA544"/>
    <w:lvl w:ilvl="0" w:tplc="92A2F6B0">
      <w:start w:val="1"/>
      <w:numFmt w:val="bullet"/>
      <w:lvlText w:val=""/>
      <w:lvlJc w:val="left"/>
      <w:pPr>
        <w:ind w:left="720" w:hanging="360"/>
      </w:pPr>
      <w:rPr>
        <w:rFonts w:ascii="Symbol" w:hAnsi="Symbol" w:hint="default"/>
      </w:rPr>
    </w:lvl>
    <w:lvl w:ilvl="1" w:tplc="6F22CA66">
      <w:start w:val="1"/>
      <w:numFmt w:val="bullet"/>
      <w:lvlText w:val="o"/>
      <w:lvlJc w:val="left"/>
      <w:pPr>
        <w:ind w:left="1440" w:hanging="360"/>
      </w:pPr>
      <w:rPr>
        <w:rFonts w:ascii="Courier New" w:hAnsi="Courier New" w:hint="default"/>
      </w:rPr>
    </w:lvl>
    <w:lvl w:ilvl="2" w:tplc="26F4C2DC">
      <w:start w:val="1"/>
      <w:numFmt w:val="bullet"/>
      <w:lvlText w:val=""/>
      <w:lvlJc w:val="left"/>
      <w:pPr>
        <w:ind w:left="2160" w:hanging="360"/>
      </w:pPr>
      <w:rPr>
        <w:rFonts w:ascii="Wingdings" w:hAnsi="Wingdings" w:hint="default"/>
      </w:rPr>
    </w:lvl>
    <w:lvl w:ilvl="3" w:tplc="273C817A">
      <w:start w:val="1"/>
      <w:numFmt w:val="bullet"/>
      <w:lvlText w:val=""/>
      <w:lvlJc w:val="left"/>
      <w:pPr>
        <w:ind w:left="2880" w:hanging="360"/>
      </w:pPr>
      <w:rPr>
        <w:rFonts w:ascii="Symbol" w:hAnsi="Symbol" w:hint="default"/>
      </w:rPr>
    </w:lvl>
    <w:lvl w:ilvl="4" w:tplc="C150A1E6">
      <w:start w:val="1"/>
      <w:numFmt w:val="bullet"/>
      <w:lvlText w:val="o"/>
      <w:lvlJc w:val="left"/>
      <w:pPr>
        <w:ind w:left="3600" w:hanging="360"/>
      </w:pPr>
      <w:rPr>
        <w:rFonts w:ascii="Courier New" w:hAnsi="Courier New" w:hint="default"/>
      </w:rPr>
    </w:lvl>
    <w:lvl w:ilvl="5" w:tplc="74EE6A84">
      <w:start w:val="1"/>
      <w:numFmt w:val="bullet"/>
      <w:lvlText w:val=""/>
      <w:lvlJc w:val="left"/>
      <w:pPr>
        <w:ind w:left="4320" w:hanging="360"/>
      </w:pPr>
      <w:rPr>
        <w:rFonts w:ascii="Wingdings" w:hAnsi="Wingdings" w:hint="default"/>
      </w:rPr>
    </w:lvl>
    <w:lvl w:ilvl="6" w:tplc="B2722E50">
      <w:start w:val="1"/>
      <w:numFmt w:val="bullet"/>
      <w:lvlText w:val=""/>
      <w:lvlJc w:val="left"/>
      <w:pPr>
        <w:ind w:left="5040" w:hanging="360"/>
      </w:pPr>
      <w:rPr>
        <w:rFonts w:ascii="Symbol" w:hAnsi="Symbol" w:hint="default"/>
      </w:rPr>
    </w:lvl>
    <w:lvl w:ilvl="7" w:tplc="25CC608E">
      <w:start w:val="1"/>
      <w:numFmt w:val="bullet"/>
      <w:lvlText w:val="o"/>
      <w:lvlJc w:val="left"/>
      <w:pPr>
        <w:ind w:left="5760" w:hanging="360"/>
      </w:pPr>
      <w:rPr>
        <w:rFonts w:ascii="Courier New" w:hAnsi="Courier New" w:hint="default"/>
      </w:rPr>
    </w:lvl>
    <w:lvl w:ilvl="8" w:tplc="B6242D10">
      <w:start w:val="1"/>
      <w:numFmt w:val="bullet"/>
      <w:lvlText w:val=""/>
      <w:lvlJc w:val="left"/>
      <w:pPr>
        <w:ind w:left="6480" w:hanging="360"/>
      </w:pPr>
      <w:rPr>
        <w:rFonts w:ascii="Wingdings" w:hAnsi="Wingdings" w:hint="default"/>
      </w:rPr>
    </w:lvl>
  </w:abstractNum>
  <w:abstractNum w:abstractNumId="10"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1"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2"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3"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4"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5"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6"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7" w15:restartNumberingAfterBreak="0">
    <w:nsid w:val="76BF9BED"/>
    <w:multiLevelType w:val="hybridMultilevel"/>
    <w:tmpl w:val="208CF9DE"/>
    <w:lvl w:ilvl="0" w:tplc="4BB016E0">
      <w:start w:val="1"/>
      <w:numFmt w:val="bullet"/>
      <w:lvlText w:val=""/>
      <w:lvlJc w:val="left"/>
      <w:pPr>
        <w:ind w:left="720" w:hanging="360"/>
      </w:pPr>
      <w:rPr>
        <w:rFonts w:ascii="Symbol" w:hAnsi="Symbol" w:hint="default"/>
      </w:rPr>
    </w:lvl>
    <w:lvl w:ilvl="1" w:tplc="E1CCE61C">
      <w:start w:val="1"/>
      <w:numFmt w:val="bullet"/>
      <w:lvlText w:val="o"/>
      <w:lvlJc w:val="left"/>
      <w:pPr>
        <w:ind w:left="1440" w:hanging="360"/>
      </w:pPr>
      <w:rPr>
        <w:rFonts w:ascii="Courier New" w:hAnsi="Courier New" w:hint="default"/>
      </w:rPr>
    </w:lvl>
    <w:lvl w:ilvl="2" w:tplc="6F188B52">
      <w:start w:val="1"/>
      <w:numFmt w:val="bullet"/>
      <w:lvlText w:val=""/>
      <w:lvlJc w:val="left"/>
      <w:pPr>
        <w:ind w:left="2160" w:hanging="360"/>
      </w:pPr>
      <w:rPr>
        <w:rFonts w:ascii="Wingdings" w:hAnsi="Wingdings" w:hint="default"/>
      </w:rPr>
    </w:lvl>
    <w:lvl w:ilvl="3" w:tplc="5CA801FA">
      <w:start w:val="1"/>
      <w:numFmt w:val="bullet"/>
      <w:lvlText w:val=""/>
      <w:lvlJc w:val="left"/>
      <w:pPr>
        <w:ind w:left="2880" w:hanging="360"/>
      </w:pPr>
      <w:rPr>
        <w:rFonts w:ascii="Symbol" w:hAnsi="Symbol" w:hint="default"/>
      </w:rPr>
    </w:lvl>
    <w:lvl w:ilvl="4" w:tplc="3F7E180C">
      <w:start w:val="1"/>
      <w:numFmt w:val="bullet"/>
      <w:lvlText w:val="o"/>
      <w:lvlJc w:val="left"/>
      <w:pPr>
        <w:ind w:left="3600" w:hanging="360"/>
      </w:pPr>
      <w:rPr>
        <w:rFonts w:ascii="Courier New" w:hAnsi="Courier New" w:hint="default"/>
      </w:rPr>
    </w:lvl>
    <w:lvl w:ilvl="5" w:tplc="C8667228">
      <w:start w:val="1"/>
      <w:numFmt w:val="bullet"/>
      <w:lvlText w:val=""/>
      <w:lvlJc w:val="left"/>
      <w:pPr>
        <w:ind w:left="4320" w:hanging="360"/>
      </w:pPr>
      <w:rPr>
        <w:rFonts w:ascii="Wingdings" w:hAnsi="Wingdings" w:hint="default"/>
      </w:rPr>
    </w:lvl>
    <w:lvl w:ilvl="6" w:tplc="F9BAF006">
      <w:start w:val="1"/>
      <w:numFmt w:val="bullet"/>
      <w:lvlText w:val=""/>
      <w:lvlJc w:val="left"/>
      <w:pPr>
        <w:ind w:left="5040" w:hanging="360"/>
      </w:pPr>
      <w:rPr>
        <w:rFonts w:ascii="Symbol" w:hAnsi="Symbol" w:hint="default"/>
      </w:rPr>
    </w:lvl>
    <w:lvl w:ilvl="7" w:tplc="B4082872">
      <w:start w:val="1"/>
      <w:numFmt w:val="bullet"/>
      <w:lvlText w:val="o"/>
      <w:lvlJc w:val="left"/>
      <w:pPr>
        <w:ind w:left="5760" w:hanging="360"/>
      </w:pPr>
      <w:rPr>
        <w:rFonts w:ascii="Courier New" w:hAnsi="Courier New" w:hint="default"/>
      </w:rPr>
    </w:lvl>
    <w:lvl w:ilvl="8" w:tplc="2702F596">
      <w:start w:val="1"/>
      <w:numFmt w:val="bullet"/>
      <w:lvlText w:val=""/>
      <w:lvlJc w:val="left"/>
      <w:pPr>
        <w:ind w:left="6480" w:hanging="360"/>
      </w:pPr>
      <w:rPr>
        <w:rFonts w:ascii="Wingdings" w:hAnsi="Wingdings" w:hint="default"/>
      </w:rPr>
    </w:lvl>
  </w:abstractNum>
  <w:abstractNum w:abstractNumId="18"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7"/>
  </w:num>
  <w:num w:numId="4">
    <w:abstractNumId w:val="17"/>
  </w:num>
  <w:num w:numId="5">
    <w:abstractNumId w:val="1"/>
  </w:num>
  <w:num w:numId="6">
    <w:abstractNumId w:val="14"/>
  </w:num>
  <w:num w:numId="7">
    <w:abstractNumId w:val="10"/>
  </w:num>
  <w:num w:numId="8">
    <w:abstractNumId w:val="15"/>
  </w:num>
  <w:num w:numId="9">
    <w:abstractNumId w:val="8"/>
  </w:num>
  <w:num w:numId="10">
    <w:abstractNumId w:val="0"/>
  </w:num>
  <w:num w:numId="11">
    <w:abstractNumId w:val="18"/>
  </w:num>
  <w:num w:numId="12">
    <w:abstractNumId w:val="6"/>
  </w:num>
  <w:num w:numId="13">
    <w:abstractNumId w:val="11"/>
  </w:num>
  <w:num w:numId="14">
    <w:abstractNumId w:val="13"/>
  </w:num>
  <w:num w:numId="15">
    <w:abstractNumId w:val="2"/>
  </w:num>
  <w:num w:numId="16">
    <w:abstractNumId w:val="3"/>
  </w:num>
  <w:num w:numId="17">
    <w:abstractNumId w:val="12"/>
  </w:num>
  <w:num w:numId="18">
    <w:abstractNumId w:val="16"/>
  </w:num>
  <w:num w:numId="19">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57A6"/>
    <w:rsid w:val="00014A39"/>
    <w:rsid w:val="00014DAF"/>
    <w:rsid w:val="00030B13"/>
    <w:rsid w:val="000328E4"/>
    <w:rsid w:val="00040AE0"/>
    <w:rsid w:val="000456D3"/>
    <w:rsid w:val="000501ED"/>
    <w:rsid w:val="00054474"/>
    <w:rsid w:val="00054A1A"/>
    <w:rsid w:val="000801F4"/>
    <w:rsid w:val="00086B7E"/>
    <w:rsid w:val="00090D0D"/>
    <w:rsid w:val="00096016"/>
    <w:rsid w:val="000B3F87"/>
    <w:rsid w:val="000B6E68"/>
    <w:rsid w:val="000C58B8"/>
    <w:rsid w:val="000D0A56"/>
    <w:rsid w:val="000D5104"/>
    <w:rsid w:val="000D6939"/>
    <w:rsid w:val="000D79AC"/>
    <w:rsid w:val="000F1545"/>
    <w:rsid w:val="000F1EE7"/>
    <w:rsid w:val="000F2ADA"/>
    <w:rsid w:val="00101280"/>
    <w:rsid w:val="00106FD6"/>
    <w:rsid w:val="0010FE5C"/>
    <w:rsid w:val="001277EC"/>
    <w:rsid w:val="0014039E"/>
    <w:rsid w:val="0014286F"/>
    <w:rsid w:val="00145FA8"/>
    <w:rsid w:val="0015019B"/>
    <w:rsid w:val="00151B13"/>
    <w:rsid w:val="001556CC"/>
    <w:rsid w:val="001578C7"/>
    <w:rsid w:val="00163111"/>
    <w:rsid w:val="00163EFB"/>
    <w:rsid w:val="001707B6"/>
    <w:rsid w:val="00171796"/>
    <w:rsid w:val="00173976"/>
    <w:rsid w:val="001772B4"/>
    <w:rsid w:val="001821EB"/>
    <w:rsid w:val="0018376E"/>
    <w:rsid w:val="00194FE1"/>
    <w:rsid w:val="00195D23"/>
    <w:rsid w:val="001A67C2"/>
    <w:rsid w:val="001D34FE"/>
    <w:rsid w:val="001E158F"/>
    <w:rsid w:val="001E72E8"/>
    <w:rsid w:val="001F1328"/>
    <w:rsid w:val="001F2623"/>
    <w:rsid w:val="00205E47"/>
    <w:rsid w:val="00206AB6"/>
    <w:rsid w:val="00220831"/>
    <w:rsid w:val="0022176E"/>
    <w:rsid w:val="00221CE5"/>
    <w:rsid w:val="00234F37"/>
    <w:rsid w:val="0023574D"/>
    <w:rsid w:val="00242822"/>
    <w:rsid w:val="00250F44"/>
    <w:rsid w:val="002539A7"/>
    <w:rsid w:val="00265D20"/>
    <w:rsid w:val="002672C0"/>
    <w:rsid w:val="0029214C"/>
    <w:rsid w:val="00293F47"/>
    <w:rsid w:val="00294368"/>
    <w:rsid w:val="002A2D97"/>
    <w:rsid w:val="002A37F8"/>
    <w:rsid w:val="002B1159"/>
    <w:rsid w:val="002B2BE4"/>
    <w:rsid w:val="002C28E6"/>
    <w:rsid w:val="002C4C2E"/>
    <w:rsid w:val="002D5DCD"/>
    <w:rsid w:val="002D5F9B"/>
    <w:rsid w:val="002D6167"/>
    <w:rsid w:val="002E2A19"/>
    <w:rsid w:val="002E6689"/>
    <w:rsid w:val="002F204B"/>
    <w:rsid w:val="002F5AA6"/>
    <w:rsid w:val="003014A4"/>
    <w:rsid w:val="00307D86"/>
    <w:rsid w:val="00313805"/>
    <w:rsid w:val="003470D6"/>
    <w:rsid w:val="0035532B"/>
    <w:rsid w:val="00366BA2"/>
    <w:rsid w:val="003839DC"/>
    <w:rsid w:val="003A6D33"/>
    <w:rsid w:val="003B0596"/>
    <w:rsid w:val="003C1630"/>
    <w:rsid w:val="003C3508"/>
    <w:rsid w:val="003D3A5B"/>
    <w:rsid w:val="003F318B"/>
    <w:rsid w:val="003F39BF"/>
    <w:rsid w:val="0041150E"/>
    <w:rsid w:val="0041500B"/>
    <w:rsid w:val="004178B6"/>
    <w:rsid w:val="00417A61"/>
    <w:rsid w:val="0043112E"/>
    <w:rsid w:val="00436161"/>
    <w:rsid w:val="00436E69"/>
    <w:rsid w:val="0044423A"/>
    <w:rsid w:val="00451695"/>
    <w:rsid w:val="00482519"/>
    <w:rsid w:val="00482CE3"/>
    <w:rsid w:val="00494746"/>
    <w:rsid w:val="004951A9"/>
    <w:rsid w:val="004A2010"/>
    <w:rsid w:val="004A7E41"/>
    <w:rsid w:val="004B378E"/>
    <w:rsid w:val="004B45DF"/>
    <w:rsid w:val="004C4352"/>
    <w:rsid w:val="004D19D3"/>
    <w:rsid w:val="004D7212"/>
    <w:rsid w:val="004D75BF"/>
    <w:rsid w:val="004D75CF"/>
    <w:rsid w:val="004E726C"/>
    <w:rsid w:val="004E730A"/>
    <w:rsid w:val="004F3873"/>
    <w:rsid w:val="00524715"/>
    <w:rsid w:val="005418C9"/>
    <w:rsid w:val="005447A6"/>
    <w:rsid w:val="0055005F"/>
    <w:rsid w:val="00552C75"/>
    <w:rsid w:val="0056152E"/>
    <w:rsid w:val="00561C9E"/>
    <w:rsid w:val="00571F90"/>
    <w:rsid w:val="00576448"/>
    <w:rsid w:val="00583B86"/>
    <w:rsid w:val="005974B9"/>
    <w:rsid w:val="005A457F"/>
    <w:rsid w:val="005A5711"/>
    <w:rsid w:val="005A78B0"/>
    <w:rsid w:val="005B6AE3"/>
    <w:rsid w:val="005C5F01"/>
    <w:rsid w:val="005C723F"/>
    <w:rsid w:val="005D5E63"/>
    <w:rsid w:val="005E75E3"/>
    <w:rsid w:val="005F4DB6"/>
    <w:rsid w:val="005F6188"/>
    <w:rsid w:val="005F6AD4"/>
    <w:rsid w:val="00600F3A"/>
    <w:rsid w:val="006043FF"/>
    <w:rsid w:val="00611ACB"/>
    <w:rsid w:val="00615E3A"/>
    <w:rsid w:val="00621AB9"/>
    <w:rsid w:val="00624E1E"/>
    <w:rsid w:val="0063420A"/>
    <w:rsid w:val="006368EC"/>
    <w:rsid w:val="0064280B"/>
    <w:rsid w:val="00645243"/>
    <w:rsid w:val="006528A0"/>
    <w:rsid w:val="0066075C"/>
    <w:rsid w:val="0066138C"/>
    <w:rsid w:val="0066727D"/>
    <w:rsid w:val="006822ED"/>
    <w:rsid w:val="00684FE5"/>
    <w:rsid w:val="006949CB"/>
    <w:rsid w:val="00695331"/>
    <w:rsid w:val="006A0BCE"/>
    <w:rsid w:val="006A440C"/>
    <w:rsid w:val="006B23FA"/>
    <w:rsid w:val="006B6FAA"/>
    <w:rsid w:val="006C6154"/>
    <w:rsid w:val="006C7B8F"/>
    <w:rsid w:val="006D1A28"/>
    <w:rsid w:val="006D5E8B"/>
    <w:rsid w:val="006E1497"/>
    <w:rsid w:val="006E2A1C"/>
    <w:rsid w:val="006E2B65"/>
    <w:rsid w:val="006E74BC"/>
    <w:rsid w:val="006F0FAB"/>
    <w:rsid w:val="00703C4B"/>
    <w:rsid w:val="007152DE"/>
    <w:rsid w:val="00716586"/>
    <w:rsid w:val="0071A57B"/>
    <w:rsid w:val="007205EF"/>
    <w:rsid w:val="0072613C"/>
    <w:rsid w:val="00732B10"/>
    <w:rsid w:val="00753B16"/>
    <w:rsid w:val="007566D3"/>
    <w:rsid w:val="00756C0F"/>
    <w:rsid w:val="00770650"/>
    <w:rsid w:val="00771691"/>
    <w:rsid w:val="0077554A"/>
    <w:rsid w:val="007775D4"/>
    <w:rsid w:val="00781908"/>
    <w:rsid w:val="0078743F"/>
    <w:rsid w:val="00793FBF"/>
    <w:rsid w:val="007A20DC"/>
    <w:rsid w:val="007C0A06"/>
    <w:rsid w:val="007C1AEA"/>
    <w:rsid w:val="007D0214"/>
    <w:rsid w:val="007D382C"/>
    <w:rsid w:val="007E508C"/>
    <w:rsid w:val="007E68B5"/>
    <w:rsid w:val="007E7C44"/>
    <w:rsid w:val="007F5769"/>
    <w:rsid w:val="007F6093"/>
    <w:rsid w:val="007F7748"/>
    <w:rsid w:val="0081261B"/>
    <w:rsid w:val="0082104E"/>
    <w:rsid w:val="00824CC4"/>
    <w:rsid w:val="00832B48"/>
    <w:rsid w:val="0083391E"/>
    <w:rsid w:val="00855532"/>
    <w:rsid w:val="00865A53"/>
    <w:rsid w:val="00870E95"/>
    <w:rsid w:val="00871621"/>
    <w:rsid w:val="00872A13"/>
    <w:rsid w:val="008741CE"/>
    <w:rsid w:val="00876DBF"/>
    <w:rsid w:val="00885FC5"/>
    <w:rsid w:val="00887B07"/>
    <w:rsid w:val="008921B2"/>
    <w:rsid w:val="00893A40"/>
    <w:rsid w:val="008975BD"/>
    <w:rsid w:val="008A06FA"/>
    <w:rsid w:val="008A12DE"/>
    <w:rsid w:val="008A357F"/>
    <w:rsid w:val="008B2FF6"/>
    <w:rsid w:val="008B7071"/>
    <w:rsid w:val="008C0234"/>
    <w:rsid w:val="008C36E1"/>
    <w:rsid w:val="008C7380"/>
    <w:rsid w:val="008C783C"/>
    <w:rsid w:val="008D4B2B"/>
    <w:rsid w:val="008D5500"/>
    <w:rsid w:val="008E14C4"/>
    <w:rsid w:val="008E5453"/>
    <w:rsid w:val="009009B5"/>
    <w:rsid w:val="009046BB"/>
    <w:rsid w:val="0091079C"/>
    <w:rsid w:val="009154AD"/>
    <w:rsid w:val="00916AAB"/>
    <w:rsid w:val="009228EC"/>
    <w:rsid w:val="00922F76"/>
    <w:rsid w:val="009230CB"/>
    <w:rsid w:val="00933965"/>
    <w:rsid w:val="00935394"/>
    <w:rsid w:val="00940276"/>
    <w:rsid w:val="009518A0"/>
    <w:rsid w:val="0097212D"/>
    <w:rsid w:val="009830D6"/>
    <w:rsid w:val="00985DD4"/>
    <w:rsid w:val="009A19B3"/>
    <w:rsid w:val="009A20C2"/>
    <w:rsid w:val="009A20ED"/>
    <w:rsid w:val="009A4203"/>
    <w:rsid w:val="009A5F2A"/>
    <w:rsid w:val="009B0301"/>
    <w:rsid w:val="009D6888"/>
    <w:rsid w:val="009E13E2"/>
    <w:rsid w:val="009F5966"/>
    <w:rsid w:val="009F5B6F"/>
    <w:rsid w:val="009F60A9"/>
    <w:rsid w:val="00A0128A"/>
    <w:rsid w:val="00A11DB7"/>
    <w:rsid w:val="00A12C21"/>
    <w:rsid w:val="00A212CE"/>
    <w:rsid w:val="00A252F8"/>
    <w:rsid w:val="00A2773A"/>
    <w:rsid w:val="00A402E2"/>
    <w:rsid w:val="00A43059"/>
    <w:rsid w:val="00A44FFF"/>
    <w:rsid w:val="00A45D20"/>
    <w:rsid w:val="00A462A1"/>
    <w:rsid w:val="00A53901"/>
    <w:rsid w:val="00A542DA"/>
    <w:rsid w:val="00A56D3A"/>
    <w:rsid w:val="00A571A1"/>
    <w:rsid w:val="00A60645"/>
    <w:rsid w:val="00A715D8"/>
    <w:rsid w:val="00A774D7"/>
    <w:rsid w:val="00A84352"/>
    <w:rsid w:val="00A8681E"/>
    <w:rsid w:val="00A95E7B"/>
    <w:rsid w:val="00A96390"/>
    <w:rsid w:val="00AA4C5F"/>
    <w:rsid w:val="00AB12D0"/>
    <w:rsid w:val="00AB383C"/>
    <w:rsid w:val="00AD5D0D"/>
    <w:rsid w:val="00AD6E52"/>
    <w:rsid w:val="00AF73E3"/>
    <w:rsid w:val="00B00BCB"/>
    <w:rsid w:val="00B068FE"/>
    <w:rsid w:val="00B07E78"/>
    <w:rsid w:val="00B14DBF"/>
    <w:rsid w:val="00B173A5"/>
    <w:rsid w:val="00B1778F"/>
    <w:rsid w:val="00B17AB7"/>
    <w:rsid w:val="00B2307C"/>
    <w:rsid w:val="00B24E61"/>
    <w:rsid w:val="00B265D9"/>
    <w:rsid w:val="00B3322E"/>
    <w:rsid w:val="00B35B60"/>
    <w:rsid w:val="00B365F0"/>
    <w:rsid w:val="00B468A3"/>
    <w:rsid w:val="00B4E202"/>
    <w:rsid w:val="00B564AC"/>
    <w:rsid w:val="00B64CCF"/>
    <w:rsid w:val="00B8577D"/>
    <w:rsid w:val="00BA41F7"/>
    <w:rsid w:val="00BA7E76"/>
    <w:rsid w:val="00BB1B7B"/>
    <w:rsid w:val="00BB78A4"/>
    <w:rsid w:val="00BC113C"/>
    <w:rsid w:val="00BC47BB"/>
    <w:rsid w:val="00BC5578"/>
    <w:rsid w:val="00BD1A87"/>
    <w:rsid w:val="00BD38D8"/>
    <w:rsid w:val="00BD5EC1"/>
    <w:rsid w:val="00BF2838"/>
    <w:rsid w:val="00C0146D"/>
    <w:rsid w:val="00C13812"/>
    <w:rsid w:val="00C15E9C"/>
    <w:rsid w:val="00C3045C"/>
    <w:rsid w:val="00C36839"/>
    <w:rsid w:val="00C46DF0"/>
    <w:rsid w:val="00C50F66"/>
    <w:rsid w:val="00C53F96"/>
    <w:rsid w:val="00C56983"/>
    <w:rsid w:val="00C60F7D"/>
    <w:rsid w:val="00C82473"/>
    <w:rsid w:val="00C86E0B"/>
    <w:rsid w:val="00CB0C33"/>
    <w:rsid w:val="00CB1C0F"/>
    <w:rsid w:val="00CB7AFE"/>
    <w:rsid w:val="00CC6A0E"/>
    <w:rsid w:val="00CC7D1E"/>
    <w:rsid w:val="00CCE98D"/>
    <w:rsid w:val="00CD092A"/>
    <w:rsid w:val="00CD51C8"/>
    <w:rsid w:val="00CE7909"/>
    <w:rsid w:val="00CE7FDD"/>
    <w:rsid w:val="00CF17F8"/>
    <w:rsid w:val="00CF6083"/>
    <w:rsid w:val="00D1374C"/>
    <w:rsid w:val="00D15940"/>
    <w:rsid w:val="00D3013B"/>
    <w:rsid w:val="00D31ADE"/>
    <w:rsid w:val="00D34229"/>
    <w:rsid w:val="00D37248"/>
    <w:rsid w:val="00D37A61"/>
    <w:rsid w:val="00D41203"/>
    <w:rsid w:val="00D41395"/>
    <w:rsid w:val="00D41B46"/>
    <w:rsid w:val="00D523CD"/>
    <w:rsid w:val="00D61206"/>
    <w:rsid w:val="00D7644D"/>
    <w:rsid w:val="00D94371"/>
    <w:rsid w:val="00DA5145"/>
    <w:rsid w:val="00DA6C24"/>
    <w:rsid w:val="00DA7B77"/>
    <w:rsid w:val="00DA7F96"/>
    <w:rsid w:val="00DB15B2"/>
    <w:rsid w:val="00DB17D1"/>
    <w:rsid w:val="00DC2C02"/>
    <w:rsid w:val="00DC52E2"/>
    <w:rsid w:val="00DE048E"/>
    <w:rsid w:val="00E00E6B"/>
    <w:rsid w:val="00E02B08"/>
    <w:rsid w:val="00E03B8E"/>
    <w:rsid w:val="00E139E4"/>
    <w:rsid w:val="00E16257"/>
    <w:rsid w:val="00E40B9D"/>
    <w:rsid w:val="00E41324"/>
    <w:rsid w:val="00E43BB7"/>
    <w:rsid w:val="00E516B5"/>
    <w:rsid w:val="00E578D6"/>
    <w:rsid w:val="00E6105B"/>
    <w:rsid w:val="00E64FEA"/>
    <w:rsid w:val="00E6515F"/>
    <w:rsid w:val="00E67A4B"/>
    <w:rsid w:val="00E74845"/>
    <w:rsid w:val="00E75D54"/>
    <w:rsid w:val="00E91B1A"/>
    <w:rsid w:val="00E91C8B"/>
    <w:rsid w:val="00E9302D"/>
    <w:rsid w:val="00EB1428"/>
    <w:rsid w:val="00EB565D"/>
    <w:rsid w:val="00ED281B"/>
    <w:rsid w:val="00ED4EBF"/>
    <w:rsid w:val="00EEA460"/>
    <w:rsid w:val="00EF4E37"/>
    <w:rsid w:val="00F116A4"/>
    <w:rsid w:val="00F121FB"/>
    <w:rsid w:val="00F2084D"/>
    <w:rsid w:val="00F24FCE"/>
    <w:rsid w:val="00F309D0"/>
    <w:rsid w:val="00F35BEA"/>
    <w:rsid w:val="00F37B0F"/>
    <w:rsid w:val="00F3AE29"/>
    <w:rsid w:val="00F425A7"/>
    <w:rsid w:val="00F54C5E"/>
    <w:rsid w:val="00F608C9"/>
    <w:rsid w:val="00F80774"/>
    <w:rsid w:val="00F85C21"/>
    <w:rsid w:val="00F85D9B"/>
    <w:rsid w:val="00FA2B26"/>
    <w:rsid w:val="00FB2F9A"/>
    <w:rsid w:val="00FB5846"/>
    <w:rsid w:val="00FB5D9B"/>
    <w:rsid w:val="00FC670A"/>
    <w:rsid w:val="00FD12A3"/>
    <w:rsid w:val="00FD2B86"/>
    <w:rsid w:val="00FD2E28"/>
    <w:rsid w:val="00FD5F1A"/>
    <w:rsid w:val="00FE08DD"/>
    <w:rsid w:val="00FE5203"/>
    <w:rsid w:val="00FE69E0"/>
    <w:rsid w:val="00FF7D1E"/>
    <w:rsid w:val="01051139"/>
    <w:rsid w:val="011550BA"/>
    <w:rsid w:val="012CB798"/>
    <w:rsid w:val="01409648"/>
    <w:rsid w:val="014F85C9"/>
    <w:rsid w:val="0169DEF3"/>
    <w:rsid w:val="017CC01F"/>
    <w:rsid w:val="0188495F"/>
    <w:rsid w:val="019AF247"/>
    <w:rsid w:val="01B1B1BB"/>
    <w:rsid w:val="01CCA437"/>
    <w:rsid w:val="01D48DA5"/>
    <w:rsid w:val="01E822AF"/>
    <w:rsid w:val="02093419"/>
    <w:rsid w:val="023E6261"/>
    <w:rsid w:val="0240007F"/>
    <w:rsid w:val="0247C59C"/>
    <w:rsid w:val="0269A402"/>
    <w:rsid w:val="0275C19E"/>
    <w:rsid w:val="0279FCD2"/>
    <w:rsid w:val="027F4BD2"/>
    <w:rsid w:val="029E577A"/>
    <w:rsid w:val="02A905F5"/>
    <w:rsid w:val="02CC0C35"/>
    <w:rsid w:val="02FEB01D"/>
    <w:rsid w:val="0316840B"/>
    <w:rsid w:val="034776C7"/>
    <w:rsid w:val="0356EA5A"/>
    <w:rsid w:val="038F8E4B"/>
    <w:rsid w:val="03A2340C"/>
    <w:rsid w:val="03DB560B"/>
    <w:rsid w:val="03DD21C9"/>
    <w:rsid w:val="03F869A2"/>
    <w:rsid w:val="03FBAA68"/>
    <w:rsid w:val="03FF5988"/>
    <w:rsid w:val="0416718E"/>
    <w:rsid w:val="041B1C33"/>
    <w:rsid w:val="041B7833"/>
    <w:rsid w:val="04224F90"/>
    <w:rsid w:val="042BDB58"/>
    <w:rsid w:val="042C7C86"/>
    <w:rsid w:val="0430F059"/>
    <w:rsid w:val="043CF6DB"/>
    <w:rsid w:val="044D5E76"/>
    <w:rsid w:val="046ACB39"/>
    <w:rsid w:val="04844D5D"/>
    <w:rsid w:val="0485F302"/>
    <w:rsid w:val="049044DE"/>
    <w:rsid w:val="0495BFC4"/>
    <w:rsid w:val="049A8567"/>
    <w:rsid w:val="04A9C2FB"/>
    <w:rsid w:val="04BBDA56"/>
    <w:rsid w:val="04BEB0D7"/>
    <w:rsid w:val="04C69D62"/>
    <w:rsid w:val="04DBD6BF"/>
    <w:rsid w:val="050D6240"/>
    <w:rsid w:val="050DA62F"/>
    <w:rsid w:val="050DFB74"/>
    <w:rsid w:val="050F9823"/>
    <w:rsid w:val="0515D3E1"/>
    <w:rsid w:val="05269C20"/>
    <w:rsid w:val="052DD2F2"/>
    <w:rsid w:val="05446F92"/>
    <w:rsid w:val="054E3219"/>
    <w:rsid w:val="0577266C"/>
    <w:rsid w:val="05846A79"/>
    <w:rsid w:val="0591F6CA"/>
    <w:rsid w:val="059271DC"/>
    <w:rsid w:val="059542A8"/>
    <w:rsid w:val="05977AC9"/>
    <w:rsid w:val="059F69F5"/>
    <w:rsid w:val="05A409D0"/>
    <w:rsid w:val="05AE83CF"/>
    <w:rsid w:val="05D15F1F"/>
    <w:rsid w:val="060005F0"/>
    <w:rsid w:val="060C59AC"/>
    <w:rsid w:val="060EE6C1"/>
    <w:rsid w:val="0620C8ED"/>
    <w:rsid w:val="06300309"/>
    <w:rsid w:val="063501F8"/>
    <w:rsid w:val="06387514"/>
    <w:rsid w:val="0638D991"/>
    <w:rsid w:val="066CA150"/>
    <w:rsid w:val="067B9620"/>
    <w:rsid w:val="069B72B6"/>
    <w:rsid w:val="069E1087"/>
    <w:rsid w:val="06AFAAF2"/>
    <w:rsid w:val="06B1A442"/>
    <w:rsid w:val="06B9566F"/>
    <w:rsid w:val="06E5B774"/>
    <w:rsid w:val="07001C9F"/>
    <w:rsid w:val="07032E15"/>
    <w:rsid w:val="0711D384"/>
    <w:rsid w:val="0717EEBB"/>
    <w:rsid w:val="0728416A"/>
    <w:rsid w:val="07334440"/>
    <w:rsid w:val="07408E0F"/>
    <w:rsid w:val="074E1250"/>
    <w:rsid w:val="074FA62F"/>
    <w:rsid w:val="0774172C"/>
    <w:rsid w:val="07B1B281"/>
    <w:rsid w:val="07BD32E1"/>
    <w:rsid w:val="080D330E"/>
    <w:rsid w:val="08318060"/>
    <w:rsid w:val="0840DBEC"/>
    <w:rsid w:val="085116E6"/>
    <w:rsid w:val="0856E313"/>
    <w:rsid w:val="08596E49"/>
    <w:rsid w:val="085CE6B1"/>
    <w:rsid w:val="086F7761"/>
    <w:rsid w:val="087635DF"/>
    <w:rsid w:val="08A0104D"/>
    <w:rsid w:val="08B0C5BD"/>
    <w:rsid w:val="08B2CB90"/>
    <w:rsid w:val="08B6FC34"/>
    <w:rsid w:val="08C56ADA"/>
    <w:rsid w:val="08C8B089"/>
    <w:rsid w:val="08CBDAC5"/>
    <w:rsid w:val="08CCD49F"/>
    <w:rsid w:val="08EE8D56"/>
    <w:rsid w:val="08F4471E"/>
    <w:rsid w:val="091E2863"/>
    <w:rsid w:val="093AAB94"/>
    <w:rsid w:val="093ED9B6"/>
    <w:rsid w:val="094F0F4F"/>
    <w:rsid w:val="095711D8"/>
    <w:rsid w:val="095C1BEE"/>
    <w:rsid w:val="0961A259"/>
    <w:rsid w:val="09ABAC87"/>
    <w:rsid w:val="09AE9880"/>
    <w:rsid w:val="09CBFAA6"/>
    <w:rsid w:val="09CFDC20"/>
    <w:rsid w:val="09D39C65"/>
    <w:rsid w:val="09FA3722"/>
    <w:rsid w:val="0A05816F"/>
    <w:rsid w:val="0A0D1C63"/>
    <w:rsid w:val="0A11DE07"/>
    <w:rsid w:val="0A1DEC79"/>
    <w:rsid w:val="0A7ADE3B"/>
    <w:rsid w:val="0A94142F"/>
    <w:rsid w:val="0AB5F770"/>
    <w:rsid w:val="0ABA73AD"/>
    <w:rsid w:val="0AC99D3C"/>
    <w:rsid w:val="0B018366"/>
    <w:rsid w:val="0B06B8CC"/>
    <w:rsid w:val="0B06D976"/>
    <w:rsid w:val="0B0C4AB4"/>
    <w:rsid w:val="0B18AEBF"/>
    <w:rsid w:val="0B362DF6"/>
    <w:rsid w:val="0B3AB48F"/>
    <w:rsid w:val="0B487E8C"/>
    <w:rsid w:val="0B728F62"/>
    <w:rsid w:val="0B7FE914"/>
    <w:rsid w:val="0BAA90DF"/>
    <w:rsid w:val="0BB566BC"/>
    <w:rsid w:val="0BB79A73"/>
    <w:rsid w:val="0BED93F0"/>
    <w:rsid w:val="0BEF4334"/>
    <w:rsid w:val="0BF75E5D"/>
    <w:rsid w:val="0BF82E6C"/>
    <w:rsid w:val="0BFA7E01"/>
    <w:rsid w:val="0C0AA79D"/>
    <w:rsid w:val="0C0E4715"/>
    <w:rsid w:val="0C2DED29"/>
    <w:rsid w:val="0C32D4AB"/>
    <w:rsid w:val="0C51D56C"/>
    <w:rsid w:val="0C56A1F9"/>
    <w:rsid w:val="0C602EA3"/>
    <w:rsid w:val="0C838140"/>
    <w:rsid w:val="0C86E084"/>
    <w:rsid w:val="0C928A20"/>
    <w:rsid w:val="0C9E0160"/>
    <w:rsid w:val="0C9E47CC"/>
    <w:rsid w:val="0CA81B15"/>
    <w:rsid w:val="0CAD9384"/>
    <w:rsid w:val="0CB764AF"/>
    <w:rsid w:val="0CE47453"/>
    <w:rsid w:val="0CE499A8"/>
    <w:rsid w:val="0D156891"/>
    <w:rsid w:val="0D164D49"/>
    <w:rsid w:val="0D1BB975"/>
    <w:rsid w:val="0D20B7F1"/>
    <w:rsid w:val="0D2A5436"/>
    <w:rsid w:val="0D3B6961"/>
    <w:rsid w:val="0D5A250C"/>
    <w:rsid w:val="0D5EA1CE"/>
    <w:rsid w:val="0D6316BC"/>
    <w:rsid w:val="0D846238"/>
    <w:rsid w:val="0D9B1BA2"/>
    <w:rsid w:val="0DB719D4"/>
    <w:rsid w:val="0DBD53D4"/>
    <w:rsid w:val="0DEDA5CD"/>
    <w:rsid w:val="0DFD8DF9"/>
    <w:rsid w:val="0E0971FC"/>
    <w:rsid w:val="0E18F1D9"/>
    <w:rsid w:val="0E21EC91"/>
    <w:rsid w:val="0E504BD4"/>
    <w:rsid w:val="0E5915C0"/>
    <w:rsid w:val="0E680062"/>
    <w:rsid w:val="0E725551"/>
    <w:rsid w:val="0E7A66D8"/>
    <w:rsid w:val="0EA38DCA"/>
    <w:rsid w:val="0EA7300D"/>
    <w:rsid w:val="0EC693CD"/>
    <w:rsid w:val="0ED160C9"/>
    <w:rsid w:val="0EE8214B"/>
    <w:rsid w:val="0EE8AB87"/>
    <w:rsid w:val="0EE8C156"/>
    <w:rsid w:val="0EEA4C9A"/>
    <w:rsid w:val="0EEE6958"/>
    <w:rsid w:val="0F004547"/>
    <w:rsid w:val="0F65E999"/>
    <w:rsid w:val="0F663C45"/>
    <w:rsid w:val="0F81BA28"/>
    <w:rsid w:val="0F84259F"/>
    <w:rsid w:val="0F9B3B1A"/>
    <w:rsid w:val="0FBDBCF2"/>
    <w:rsid w:val="0FEC1FE2"/>
    <w:rsid w:val="100C0CC5"/>
    <w:rsid w:val="100DBC79"/>
    <w:rsid w:val="1014FD2B"/>
    <w:rsid w:val="102E9FE5"/>
    <w:rsid w:val="10712351"/>
    <w:rsid w:val="10952C83"/>
    <w:rsid w:val="10A13395"/>
    <w:rsid w:val="10F25814"/>
    <w:rsid w:val="11000862"/>
    <w:rsid w:val="11168463"/>
    <w:rsid w:val="112E6C8A"/>
    <w:rsid w:val="1130E728"/>
    <w:rsid w:val="114F12D1"/>
    <w:rsid w:val="1177B49F"/>
    <w:rsid w:val="118077B3"/>
    <w:rsid w:val="1185616D"/>
    <w:rsid w:val="11943A30"/>
    <w:rsid w:val="11BB1ADB"/>
    <w:rsid w:val="11CB3C78"/>
    <w:rsid w:val="120B62D0"/>
    <w:rsid w:val="12104A18"/>
    <w:rsid w:val="12112F52"/>
    <w:rsid w:val="1215F637"/>
    <w:rsid w:val="121C5578"/>
    <w:rsid w:val="1238E6E4"/>
    <w:rsid w:val="1242CF46"/>
    <w:rsid w:val="1279B884"/>
    <w:rsid w:val="12982960"/>
    <w:rsid w:val="12AB7401"/>
    <w:rsid w:val="12AFD894"/>
    <w:rsid w:val="12D17BAD"/>
    <w:rsid w:val="12D8F952"/>
    <w:rsid w:val="12ED5B57"/>
    <w:rsid w:val="12F55DB4"/>
    <w:rsid w:val="12F57C22"/>
    <w:rsid w:val="1307CE4F"/>
    <w:rsid w:val="1326A633"/>
    <w:rsid w:val="1326F333"/>
    <w:rsid w:val="1336ADBD"/>
    <w:rsid w:val="133CC4E8"/>
    <w:rsid w:val="13506BCE"/>
    <w:rsid w:val="1355FFBA"/>
    <w:rsid w:val="13658ADC"/>
    <w:rsid w:val="1382BA7C"/>
    <w:rsid w:val="1383FECD"/>
    <w:rsid w:val="13919309"/>
    <w:rsid w:val="139D43E4"/>
    <w:rsid w:val="13AC9957"/>
    <w:rsid w:val="13AEA9B5"/>
    <w:rsid w:val="13C1B0DA"/>
    <w:rsid w:val="13E9B488"/>
    <w:rsid w:val="1405AE4E"/>
    <w:rsid w:val="1427B7FE"/>
    <w:rsid w:val="1428ABF3"/>
    <w:rsid w:val="142E5F97"/>
    <w:rsid w:val="1430C4BE"/>
    <w:rsid w:val="14369A07"/>
    <w:rsid w:val="143EC579"/>
    <w:rsid w:val="14441C00"/>
    <w:rsid w:val="145734BC"/>
    <w:rsid w:val="14598181"/>
    <w:rsid w:val="1478C08D"/>
    <w:rsid w:val="147FB88F"/>
    <w:rsid w:val="149B5EC1"/>
    <w:rsid w:val="14CDCC5C"/>
    <w:rsid w:val="14EF407F"/>
    <w:rsid w:val="14F274D3"/>
    <w:rsid w:val="152EFCAE"/>
    <w:rsid w:val="15391445"/>
    <w:rsid w:val="153DFD1C"/>
    <w:rsid w:val="15512AE1"/>
    <w:rsid w:val="156147AB"/>
    <w:rsid w:val="15746AD8"/>
    <w:rsid w:val="1588E78F"/>
    <w:rsid w:val="15941473"/>
    <w:rsid w:val="15A9EE4C"/>
    <w:rsid w:val="15B04F71"/>
    <w:rsid w:val="15E152E0"/>
    <w:rsid w:val="15E7CD48"/>
    <w:rsid w:val="1608FBC2"/>
    <w:rsid w:val="162CFE76"/>
    <w:rsid w:val="16500BF5"/>
    <w:rsid w:val="165B39CF"/>
    <w:rsid w:val="165C2760"/>
    <w:rsid w:val="166E25EC"/>
    <w:rsid w:val="167B47E7"/>
    <w:rsid w:val="167DE68D"/>
    <w:rsid w:val="16874FC5"/>
    <w:rsid w:val="1695233A"/>
    <w:rsid w:val="169B0BF4"/>
    <w:rsid w:val="16C9234A"/>
    <w:rsid w:val="16CBC81C"/>
    <w:rsid w:val="16D9CD7D"/>
    <w:rsid w:val="16ECFB42"/>
    <w:rsid w:val="17055722"/>
    <w:rsid w:val="1726B963"/>
    <w:rsid w:val="1734BFA0"/>
    <w:rsid w:val="17384ED2"/>
    <w:rsid w:val="1764361A"/>
    <w:rsid w:val="1767155A"/>
    <w:rsid w:val="176FF263"/>
    <w:rsid w:val="1792672F"/>
    <w:rsid w:val="1799CDF6"/>
    <w:rsid w:val="179C7599"/>
    <w:rsid w:val="17AA6C18"/>
    <w:rsid w:val="17D0F8BD"/>
    <w:rsid w:val="17D91463"/>
    <w:rsid w:val="17FA6456"/>
    <w:rsid w:val="180484CC"/>
    <w:rsid w:val="18194357"/>
    <w:rsid w:val="181ADB91"/>
    <w:rsid w:val="18244EA4"/>
    <w:rsid w:val="183828FA"/>
    <w:rsid w:val="1843C93C"/>
    <w:rsid w:val="184F1B3E"/>
    <w:rsid w:val="1866D9C7"/>
    <w:rsid w:val="186F5B88"/>
    <w:rsid w:val="187947C7"/>
    <w:rsid w:val="18889D4B"/>
    <w:rsid w:val="18AD9AF5"/>
    <w:rsid w:val="18B210CA"/>
    <w:rsid w:val="18B6C0F7"/>
    <w:rsid w:val="18CCE0A2"/>
    <w:rsid w:val="18FF7AD9"/>
    <w:rsid w:val="1903934B"/>
    <w:rsid w:val="191CD15E"/>
    <w:rsid w:val="193109C7"/>
    <w:rsid w:val="19348D89"/>
    <w:rsid w:val="1949BC1A"/>
    <w:rsid w:val="194DD329"/>
    <w:rsid w:val="1961D272"/>
    <w:rsid w:val="196236C0"/>
    <w:rsid w:val="19649F38"/>
    <w:rsid w:val="19767AFF"/>
    <w:rsid w:val="1984F1D3"/>
    <w:rsid w:val="1988CAEE"/>
    <w:rsid w:val="1995C709"/>
    <w:rsid w:val="19A4EE3C"/>
    <w:rsid w:val="19CB49F9"/>
    <w:rsid w:val="19CD73A1"/>
    <w:rsid w:val="19D526B9"/>
    <w:rsid w:val="19EA0EAB"/>
    <w:rsid w:val="1A01C9CD"/>
    <w:rsid w:val="1A01E99D"/>
    <w:rsid w:val="1A1ED46D"/>
    <w:rsid w:val="1A22DB08"/>
    <w:rsid w:val="1A5511D1"/>
    <w:rsid w:val="1A6C8535"/>
    <w:rsid w:val="1A96207E"/>
    <w:rsid w:val="1AA86F07"/>
    <w:rsid w:val="1AB363D2"/>
    <w:rsid w:val="1ABB9C24"/>
    <w:rsid w:val="1AD4165B"/>
    <w:rsid w:val="1AF3FFA7"/>
    <w:rsid w:val="1B006F99"/>
    <w:rsid w:val="1B050CC5"/>
    <w:rsid w:val="1B237D18"/>
    <w:rsid w:val="1B44B594"/>
    <w:rsid w:val="1B5699D5"/>
    <w:rsid w:val="1B70B26D"/>
    <w:rsid w:val="1B78C891"/>
    <w:rsid w:val="1B800C91"/>
    <w:rsid w:val="1B944474"/>
    <w:rsid w:val="1B9C946D"/>
    <w:rsid w:val="1BC39178"/>
    <w:rsid w:val="1BE1B30C"/>
    <w:rsid w:val="1BE2D547"/>
    <w:rsid w:val="1BF044C2"/>
    <w:rsid w:val="1BF0E232"/>
    <w:rsid w:val="1BF1CE31"/>
    <w:rsid w:val="1C28F733"/>
    <w:rsid w:val="1C3E9B6C"/>
    <w:rsid w:val="1C6095C5"/>
    <w:rsid w:val="1C785EBF"/>
    <w:rsid w:val="1C7B1255"/>
    <w:rsid w:val="1C7CE35C"/>
    <w:rsid w:val="1C8463A5"/>
    <w:rsid w:val="1CAB388D"/>
    <w:rsid w:val="1CBA581C"/>
    <w:rsid w:val="1CBD97D3"/>
    <w:rsid w:val="1CD99519"/>
    <w:rsid w:val="1CF7F757"/>
    <w:rsid w:val="1D2179E7"/>
    <w:rsid w:val="1D3A84A3"/>
    <w:rsid w:val="1D4CA669"/>
    <w:rsid w:val="1D52AEB5"/>
    <w:rsid w:val="1D5710B5"/>
    <w:rsid w:val="1D5C3CC6"/>
    <w:rsid w:val="1D5D7784"/>
    <w:rsid w:val="1D7036EB"/>
    <w:rsid w:val="1D9043AA"/>
    <w:rsid w:val="1D90EDF9"/>
    <w:rsid w:val="1D97F99A"/>
    <w:rsid w:val="1DA4EB57"/>
    <w:rsid w:val="1DA6C705"/>
    <w:rsid w:val="1DA7884F"/>
    <w:rsid w:val="1DB665DC"/>
    <w:rsid w:val="1DBC0450"/>
    <w:rsid w:val="1DC34AF4"/>
    <w:rsid w:val="1DC4FA4C"/>
    <w:rsid w:val="1DCBE2D7"/>
    <w:rsid w:val="1DE553A8"/>
    <w:rsid w:val="1DFCA8F8"/>
    <w:rsid w:val="1E0BB71D"/>
    <w:rsid w:val="1E0DFA99"/>
    <w:rsid w:val="1E27D0AD"/>
    <w:rsid w:val="1E38105B"/>
    <w:rsid w:val="1E3A1D1A"/>
    <w:rsid w:val="1E4E9330"/>
    <w:rsid w:val="1E6EEAC8"/>
    <w:rsid w:val="1E71DFD5"/>
    <w:rsid w:val="1E749BA1"/>
    <w:rsid w:val="1EA9B17E"/>
    <w:rsid w:val="1ED55AC0"/>
    <w:rsid w:val="1F0385CA"/>
    <w:rsid w:val="1F0CE2E4"/>
    <w:rsid w:val="1F19B5FE"/>
    <w:rsid w:val="1F1A7609"/>
    <w:rsid w:val="1F27E584"/>
    <w:rsid w:val="1F2FBB66"/>
    <w:rsid w:val="1F3CA1F4"/>
    <w:rsid w:val="1F4BCE62"/>
    <w:rsid w:val="201368C8"/>
    <w:rsid w:val="202A1282"/>
    <w:rsid w:val="202BEE06"/>
    <w:rsid w:val="202F0342"/>
    <w:rsid w:val="20493E3A"/>
    <w:rsid w:val="20851E11"/>
    <w:rsid w:val="20892DED"/>
    <w:rsid w:val="20907F3C"/>
    <w:rsid w:val="2094213C"/>
    <w:rsid w:val="20D3CDD0"/>
    <w:rsid w:val="2105BB8B"/>
    <w:rsid w:val="2117B08B"/>
    <w:rsid w:val="216A7BE5"/>
    <w:rsid w:val="217780EE"/>
    <w:rsid w:val="21779EA3"/>
    <w:rsid w:val="218AC58E"/>
    <w:rsid w:val="220DF5C6"/>
    <w:rsid w:val="22202A0D"/>
    <w:rsid w:val="224BDB86"/>
    <w:rsid w:val="226BBF20"/>
    <w:rsid w:val="229252B2"/>
    <w:rsid w:val="22929CFA"/>
    <w:rsid w:val="229524CD"/>
    <w:rsid w:val="22BB7088"/>
    <w:rsid w:val="22BCF676"/>
    <w:rsid w:val="22EF8CFD"/>
    <w:rsid w:val="2318C141"/>
    <w:rsid w:val="231A30D5"/>
    <w:rsid w:val="232DBA4C"/>
    <w:rsid w:val="23486663"/>
    <w:rsid w:val="235B76DE"/>
    <w:rsid w:val="23791BFA"/>
    <w:rsid w:val="239EDB1A"/>
    <w:rsid w:val="23A773DA"/>
    <w:rsid w:val="23B9A3E8"/>
    <w:rsid w:val="23CD38DC"/>
    <w:rsid w:val="23D2EB33"/>
    <w:rsid w:val="23EE2386"/>
    <w:rsid w:val="23F6E5A7"/>
    <w:rsid w:val="240C518F"/>
    <w:rsid w:val="243E965B"/>
    <w:rsid w:val="2441BEAB"/>
    <w:rsid w:val="245C7762"/>
    <w:rsid w:val="246C222A"/>
    <w:rsid w:val="246CB9C7"/>
    <w:rsid w:val="246E9E94"/>
    <w:rsid w:val="2479F0EF"/>
    <w:rsid w:val="24853967"/>
    <w:rsid w:val="24A54C6B"/>
    <w:rsid w:val="24A644AD"/>
    <w:rsid w:val="24AC84AB"/>
    <w:rsid w:val="24B43A96"/>
    <w:rsid w:val="24B71565"/>
    <w:rsid w:val="24B9C739"/>
    <w:rsid w:val="24DA45E2"/>
    <w:rsid w:val="25646BD4"/>
    <w:rsid w:val="2574B616"/>
    <w:rsid w:val="25773324"/>
    <w:rsid w:val="25826A71"/>
    <w:rsid w:val="258AD753"/>
    <w:rsid w:val="258C7449"/>
    <w:rsid w:val="259979DE"/>
    <w:rsid w:val="25A013C1"/>
    <w:rsid w:val="25B91EB1"/>
    <w:rsid w:val="25C0DEED"/>
    <w:rsid w:val="25D92CAE"/>
    <w:rsid w:val="25DA66BC"/>
    <w:rsid w:val="25DE3B1A"/>
    <w:rsid w:val="25E223B3"/>
    <w:rsid w:val="25F3114A"/>
    <w:rsid w:val="26038DAE"/>
    <w:rsid w:val="2615C150"/>
    <w:rsid w:val="26272DBF"/>
    <w:rsid w:val="26542DBC"/>
    <w:rsid w:val="2654DD71"/>
    <w:rsid w:val="2665E6B5"/>
    <w:rsid w:val="26749DA7"/>
    <w:rsid w:val="2686666A"/>
    <w:rsid w:val="26B56586"/>
    <w:rsid w:val="26C5BC44"/>
    <w:rsid w:val="26C9D7DD"/>
    <w:rsid w:val="26D4EB96"/>
    <w:rsid w:val="26DD32FC"/>
    <w:rsid w:val="2733829E"/>
    <w:rsid w:val="273B825F"/>
    <w:rsid w:val="2774FD0F"/>
    <w:rsid w:val="2789547B"/>
    <w:rsid w:val="278ADAD7"/>
    <w:rsid w:val="279A4814"/>
    <w:rsid w:val="27EB6C51"/>
    <w:rsid w:val="280983E7"/>
    <w:rsid w:val="280E759A"/>
    <w:rsid w:val="2811E6A4"/>
    <w:rsid w:val="281CE13A"/>
    <w:rsid w:val="28269E7F"/>
    <w:rsid w:val="2826D6EF"/>
    <w:rsid w:val="283651C5"/>
    <w:rsid w:val="283BB700"/>
    <w:rsid w:val="283FE2B9"/>
    <w:rsid w:val="2848C9EA"/>
    <w:rsid w:val="28624E3F"/>
    <w:rsid w:val="2867D023"/>
    <w:rsid w:val="287F84FB"/>
    <w:rsid w:val="288432F0"/>
    <w:rsid w:val="288AE7BA"/>
    <w:rsid w:val="2893AF2E"/>
    <w:rsid w:val="2931330C"/>
    <w:rsid w:val="293A7BB7"/>
    <w:rsid w:val="293D0FFF"/>
    <w:rsid w:val="2947BF11"/>
    <w:rsid w:val="294995BF"/>
    <w:rsid w:val="2949F8F1"/>
    <w:rsid w:val="29598E23"/>
    <w:rsid w:val="295C2BAE"/>
    <w:rsid w:val="2963EFAC"/>
    <w:rsid w:val="297A2525"/>
    <w:rsid w:val="2982B088"/>
    <w:rsid w:val="298B8710"/>
    <w:rsid w:val="29B11DDE"/>
    <w:rsid w:val="29C3DD97"/>
    <w:rsid w:val="29D22226"/>
    <w:rsid w:val="29FAC98A"/>
    <w:rsid w:val="2A1E820E"/>
    <w:rsid w:val="2A26B81B"/>
    <w:rsid w:val="2A31E834"/>
    <w:rsid w:val="2A97C10F"/>
    <w:rsid w:val="2A9883E0"/>
    <w:rsid w:val="2AB96DBE"/>
    <w:rsid w:val="2ACE854F"/>
    <w:rsid w:val="2AE0C9AE"/>
    <w:rsid w:val="2B305F09"/>
    <w:rsid w:val="2B35A185"/>
    <w:rsid w:val="2B487ED4"/>
    <w:rsid w:val="2B5C4776"/>
    <w:rsid w:val="2B627D1C"/>
    <w:rsid w:val="2B90C4A2"/>
    <w:rsid w:val="2B9A1F87"/>
    <w:rsid w:val="2B9E6B2A"/>
    <w:rsid w:val="2BD7704A"/>
    <w:rsid w:val="2BD79E59"/>
    <w:rsid w:val="2C0FA893"/>
    <w:rsid w:val="2C160B29"/>
    <w:rsid w:val="2C167991"/>
    <w:rsid w:val="2C2056E3"/>
    <w:rsid w:val="2C265829"/>
    <w:rsid w:val="2C3980E9"/>
    <w:rsid w:val="2C3EE640"/>
    <w:rsid w:val="2C3F12ED"/>
    <w:rsid w:val="2C3F65B8"/>
    <w:rsid w:val="2C449D91"/>
    <w:rsid w:val="2C5857AD"/>
    <w:rsid w:val="2C74B7A9"/>
    <w:rsid w:val="2C82F12D"/>
    <w:rsid w:val="2CB08B3A"/>
    <w:rsid w:val="2CC3FD93"/>
    <w:rsid w:val="2CCC2F6A"/>
    <w:rsid w:val="2D062D9B"/>
    <w:rsid w:val="2D4FEAE2"/>
    <w:rsid w:val="2D7990E1"/>
    <w:rsid w:val="2D865648"/>
    <w:rsid w:val="2D8A6AE0"/>
    <w:rsid w:val="2D9CB6F8"/>
    <w:rsid w:val="2DA238ED"/>
    <w:rsid w:val="2DA2D73C"/>
    <w:rsid w:val="2DB08E51"/>
    <w:rsid w:val="2DB348D9"/>
    <w:rsid w:val="2DBAB403"/>
    <w:rsid w:val="2DBB614A"/>
    <w:rsid w:val="2DD4658E"/>
    <w:rsid w:val="2DE06DF2"/>
    <w:rsid w:val="2E2297F2"/>
    <w:rsid w:val="2E67FFCB"/>
    <w:rsid w:val="2E78CD62"/>
    <w:rsid w:val="2E95FBE0"/>
    <w:rsid w:val="2EF3B613"/>
    <w:rsid w:val="2EF95A09"/>
    <w:rsid w:val="2F0398BA"/>
    <w:rsid w:val="2F0E30F1"/>
    <w:rsid w:val="2F1739C1"/>
    <w:rsid w:val="2F1B2241"/>
    <w:rsid w:val="2F4E3DF4"/>
    <w:rsid w:val="2F5DFCF7"/>
    <w:rsid w:val="2F6E1C2D"/>
    <w:rsid w:val="2F79433B"/>
    <w:rsid w:val="2FB8D490"/>
    <w:rsid w:val="2FBCC149"/>
    <w:rsid w:val="2FBE6853"/>
    <w:rsid w:val="2FC29442"/>
    <w:rsid w:val="2FD8F68B"/>
    <w:rsid w:val="2FE13EE4"/>
    <w:rsid w:val="2FFBD72E"/>
    <w:rsid w:val="300E205F"/>
    <w:rsid w:val="301210AE"/>
    <w:rsid w:val="30448871"/>
    <w:rsid w:val="305791C6"/>
    <w:rsid w:val="30742535"/>
    <w:rsid w:val="3078D870"/>
    <w:rsid w:val="308F8674"/>
    <w:rsid w:val="30960FB1"/>
    <w:rsid w:val="30ACCA11"/>
    <w:rsid w:val="30AF7E6A"/>
    <w:rsid w:val="30E23BD2"/>
    <w:rsid w:val="31071956"/>
    <w:rsid w:val="312A1929"/>
    <w:rsid w:val="3139CBD6"/>
    <w:rsid w:val="314223AB"/>
    <w:rsid w:val="316F90CF"/>
    <w:rsid w:val="317758C0"/>
    <w:rsid w:val="317C773D"/>
    <w:rsid w:val="317D84EE"/>
    <w:rsid w:val="318B73E1"/>
    <w:rsid w:val="3190EE11"/>
    <w:rsid w:val="319314AA"/>
    <w:rsid w:val="31993DCA"/>
    <w:rsid w:val="31C5FFFE"/>
    <w:rsid w:val="31C72C62"/>
    <w:rsid w:val="31C9EACB"/>
    <w:rsid w:val="31ECAD36"/>
    <w:rsid w:val="31EE070E"/>
    <w:rsid w:val="321EE62D"/>
    <w:rsid w:val="3222E176"/>
    <w:rsid w:val="326DA1A8"/>
    <w:rsid w:val="3278002D"/>
    <w:rsid w:val="327F96AB"/>
    <w:rsid w:val="32A395C5"/>
    <w:rsid w:val="32A42920"/>
    <w:rsid w:val="32AFEC8F"/>
    <w:rsid w:val="32C4FA11"/>
    <w:rsid w:val="32CD6181"/>
    <w:rsid w:val="32E4C4DC"/>
    <w:rsid w:val="32F0A096"/>
    <w:rsid w:val="3311ACD2"/>
    <w:rsid w:val="332B4CF9"/>
    <w:rsid w:val="3347135C"/>
    <w:rsid w:val="335390B9"/>
    <w:rsid w:val="337CF058"/>
    <w:rsid w:val="337ECE4E"/>
    <w:rsid w:val="337F0C9F"/>
    <w:rsid w:val="3390125A"/>
    <w:rsid w:val="33926BC4"/>
    <w:rsid w:val="339E9B50"/>
    <w:rsid w:val="33C1273C"/>
    <w:rsid w:val="33E08407"/>
    <w:rsid w:val="33EB6240"/>
    <w:rsid w:val="34257A11"/>
    <w:rsid w:val="34554947"/>
    <w:rsid w:val="346B0312"/>
    <w:rsid w:val="34A8656A"/>
    <w:rsid w:val="34B35ABE"/>
    <w:rsid w:val="34C45AF4"/>
    <w:rsid w:val="34C5632F"/>
    <w:rsid w:val="34CA621E"/>
    <w:rsid w:val="34D011BB"/>
    <w:rsid w:val="34F36AB0"/>
    <w:rsid w:val="34FAA319"/>
    <w:rsid w:val="351665C0"/>
    <w:rsid w:val="3524DF36"/>
    <w:rsid w:val="35370452"/>
    <w:rsid w:val="353B8202"/>
    <w:rsid w:val="35400FAD"/>
    <w:rsid w:val="354BA58D"/>
    <w:rsid w:val="356BB701"/>
    <w:rsid w:val="358077B5"/>
    <w:rsid w:val="358FB175"/>
    <w:rsid w:val="35988E3B"/>
    <w:rsid w:val="359992D2"/>
    <w:rsid w:val="35A13454"/>
    <w:rsid w:val="35A344A7"/>
    <w:rsid w:val="35AD4AD2"/>
    <w:rsid w:val="36003503"/>
    <w:rsid w:val="3615CA43"/>
    <w:rsid w:val="36173DF8"/>
    <w:rsid w:val="36284158"/>
    <w:rsid w:val="362B69DB"/>
    <w:rsid w:val="362E9EDE"/>
    <w:rsid w:val="36324E41"/>
    <w:rsid w:val="363FD3A7"/>
    <w:rsid w:val="3648892F"/>
    <w:rsid w:val="3653FCA5"/>
    <w:rsid w:val="365E44F9"/>
    <w:rsid w:val="368F2F8F"/>
    <w:rsid w:val="36901D0D"/>
    <w:rsid w:val="36B6AD61"/>
    <w:rsid w:val="36D18D0A"/>
    <w:rsid w:val="36EC12C6"/>
    <w:rsid w:val="36EFF163"/>
    <w:rsid w:val="373BCE26"/>
    <w:rsid w:val="375982AD"/>
    <w:rsid w:val="375AB340"/>
    <w:rsid w:val="37653876"/>
    <w:rsid w:val="37673A99"/>
    <w:rsid w:val="376BC68F"/>
    <w:rsid w:val="377706E8"/>
    <w:rsid w:val="37779A43"/>
    <w:rsid w:val="377BCC45"/>
    <w:rsid w:val="3794486D"/>
    <w:rsid w:val="37AC3998"/>
    <w:rsid w:val="37B76368"/>
    <w:rsid w:val="37C8491D"/>
    <w:rsid w:val="37F3DD6C"/>
    <w:rsid w:val="3805336D"/>
    <w:rsid w:val="382C2FBD"/>
    <w:rsid w:val="3841574C"/>
    <w:rsid w:val="3853C8A0"/>
    <w:rsid w:val="3859DD6D"/>
    <w:rsid w:val="386EF75F"/>
    <w:rsid w:val="387509DE"/>
    <w:rsid w:val="38A8E630"/>
    <w:rsid w:val="38B16561"/>
    <w:rsid w:val="38C75237"/>
    <w:rsid w:val="38D44E2D"/>
    <w:rsid w:val="38D826A8"/>
    <w:rsid w:val="38EA6584"/>
    <w:rsid w:val="38EBFBCD"/>
    <w:rsid w:val="38F2ED62"/>
    <w:rsid w:val="38F9837E"/>
    <w:rsid w:val="3931F3F3"/>
    <w:rsid w:val="3932DAE0"/>
    <w:rsid w:val="394457EB"/>
    <w:rsid w:val="3969EF03"/>
    <w:rsid w:val="3972DC6F"/>
    <w:rsid w:val="397BD68D"/>
    <w:rsid w:val="39ABDB6A"/>
    <w:rsid w:val="39D13E62"/>
    <w:rsid w:val="39DA9490"/>
    <w:rsid w:val="39E5A76C"/>
    <w:rsid w:val="39F88F40"/>
    <w:rsid w:val="3A02CAD6"/>
    <w:rsid w:val="3A0B0D73"/>
    <w:rsid w:val="3A0C1929"/>
    <w:rsid w:val="3A22EC7C"/>
    <w:rsid w:val="3A318172"/>
    <w:rsid w:val="3A6BC387"/>
    <w:rsid w:val="3A80E49E"/>
    <w:rsid w:val="3A8E1927"/>
    <w:rsid w:val="3A967C67"/>
    <w:rsid w:val="3A98744C"/>
    <w:rsid w:val="3AAA33EE"/>
    <w:rsid w:val="3ABAD61C"/>
    <w:rsid w:val="3ACDFAE9"/>
    <w:rsid w:val="3AD1F6FB"/>
    <w:rsid w:val="3AF695C7"/>
    <w:rsid w:val="3B0FD25E"/>
    <w:rsid w:val="3B11DBB7"/>
    <w:rsid w:val="3B131D8C"/>
    <w:rsid w:val="3B1DD15D"/>
    <w:rsid w:val="3B252259"/>
    <w:rsid w:val="3B486126"/>
    <w:rsid w:val="3B8177CD"/>
    <w:rsid w:val="3B8251D4"/>
    <w:rsid w:val="3BD0C987"/>
    <w:rsid w:val="3BDCB3E0"/>
    <w:rsid w:val="3BE8FF80"/>
    <w:rsid w:val="3C281CDA"/>
    <w:rsid w:val="3C5ECB8B"/>
    <w:rsid w:val="3C6677C6"/>
    <w:rsid w:val="3C68BE22"/>
    <w:rsid w:val="3C6A173E"/>
    <w:rsid w:val="3C6A40F0"/>
    <w:rsid w:val="3C6F94EF"/>
    <w:rsid w:val="3C89EBC7"/>
    <w:rsid w:val="3C8D47C8"/>
    <w:rsid w:val="3C9B5794"/>
    <w:rsid w:val="3CA35878"/>
    <w:rsid w:val="3CBFC7E1"/>
    <w:rsid w:val="3CC372BA"/>
    <w:rsid w:val="3D128D2F"/>
    <w:rsid w:val="3D1379CB"/>
    <w:rsid w:val="3D1A7696"/>
    <w:rsid w:val="3D1C5165"/>
    <w:rsid w:val="3D1FF1E6"/>
    <w:rsid w:val="3D227853"/>
    <w:rsid w:val="3D507B9C"/>
    <w:rsid w:val="3D7DD8F2"/>
    <w:rsid w:val="3D8F53D3"/>
    <w:rsid w:val="3D927B2E"/>
    <w:rsid w:val="3DA37F5D"/>
    <w:rsid w:val="3DA6D863"/>
    <w:rsid w:val="3DB1AAF0"/>
    <w:rsid w:val="3DB6F5BD"/>
    <w:rsid w:val="3DC32FCC"/>
    <w:rsid w:val="3E0BCF1E"/>
    <w:rsid w:val="3E3D695B"/>
    <w:rsid w:val="3E5CE527"/>
    <w:rsid w:val="3E71D856"/>
    <w:rsid w:val="3E7BA82F"/>
    <w:rsid w:val="3E802EE9"/>
    <w:rsid w:val="3EB078DC"/>
    <w:rsid w:val="3EC58B4C"/>
    <w:rsid w:val="3EF5628F"/>
    <w:rsid w:val="3EFAE080"/>
    <w:rsid w:val="3EFBEA37"/>
    <w:rsid w:val="3F030670"/>
    <w:rsid w:val="3F076C98"/>
    <w:rsid w:val="3F251A8B"/>
    <w:rsid w:val="3F2B0519"/>
    <w:rsid w:val="3F55DA01"/>
    <w:rsid w:val="3F6DAA18"/>
    <w:rsid w:val="3F75F123"/>
    <w:rsid w:val="3F8AA80A"/>
    <w:rsid w:val="3F8D91C5"/>
    <w:rsid w:val="3F8E473F"/>
    <w:rsid w:val="3F9392E8"/>
    <w:rsid w:val="3F94C4FF"/>
    <w:rsid w:val="3F9BC52C"/>
    <w:rsid w:val="3FAFF8F6"/>
    <w:rsid w:val="3FBB8835"/>
    <w:rsid w:val="3FD8F31E"/>
    <w:rsid w:val="3FD912F1"/>
    <w:rsid w:val="40031AA8"/>
    <w:rsid w:val="4006FA57"/>
    <w:rsid w:val="4019AFA5"/>
    <w:rsid w:val="4024AD33"/>
    <w:rsid w:val="402B2C02"/>
    <w:rsid w:val="4047F00B"/>
    <w:rsid w:val="405065C9"/>
    <w:rsid w:val="405C5AC2"/>
    <w:rsid w:val="4060AF77"/>
    <w:rsid w:val="40640D52"/>
    <w:rsid w:val="40850BDE"/>
    <w:rsid w:val="40A7F51A"/>
    <w:rsid w:val="40AE69A8"/>
    <w:rsid w:val="4110A475"/>
    <w:rsid w:val="4126B928"/>
    <w:rsid w:val="41315B17"/>
    <w:rsid w:val="413F7560"/>
    <w:rsid w:val="4159C072"/>
    <w:rsid w:val="415D2FA1"/>
    <w:rsid w:val="417A6A0E"/>
    <w:rsid w:val="41AACB82"/>
    <w:rsid w:val="41CB78AD"/>
    <w:rsid w:val="41ED8355"/>
    <w:rsid w:val="41F321F3"/>
    <w:rsid w:val="4226C48F"/>
    <w:rsid w:val="422C39B3"/>
    <w:rsid w:val="42328142"/>
    <w:rsid w:val="423349C7"/>
    <w:rsid w:val="42417669"/>
    <w:rsid w:val="42534770"/>
    <w:rsid w:val="42578A99"/>
    <w:rsid w:val="42906D20"/>
    <w:rsid w:val="42A35DFD"/>
    <w:rsid w:val="42B1DB88"/>
    <w:rsid w:val="42BAF35F"/>
    <w:rsid w:val="42C85076"/>
    <w:rsid w:val="42E5564B"/>
    <w:rsid w:val="42EC5E61"/>
    <w:rsid w:val="42FE28B6"/>
    <w:rsid w:val="4335EDD3"/>
    <w:rsid w:val="433EF085"/>
    <w:rsid w:val="434C94D6"/>
    <w:rsid w:val="435320C8"/>
    <w:rsid w:val="4380F5E2"/>
    <w:rsid w:val="43A36B50"/>
    <w:rsid w:val="43A9A824"/>
    <w:rsid w:val="43AD7C82"/>
    <w:rsid w:val="43B96AEC"/>
    <w:rsid w:val="43C4D2E4"/>
    <w:rsid w:val="43D77356"/>
    <w:rsid w:val="43E0513E"/>
    <w:rsid w:val="43EEA951"/>
    <w:rsid w:val="44066F95"/>
    <w:rsid w:val="441700D4"/>
    <w:rsid w:val="4417ECD3"/>
    <w:rsid w:val="442A96BA"/>
    <w:rsid w:val="444BE6AD"/>
    <w:rsid w:val="4453628D"/>
    <w:rsid w:val="445B0C57"/>
    <w:rsid w:val="446E6805"/>
    <w:rsid w:val="4475D0FB"/>
    <w:rsid w:val="4492AA26"/>
    <w:rsid w:val="44995262"/>
    <w:rsid w:val="44A15DD1"/>
    <w:rsid w:val="44BBCDD7"/>
    <w:rsid w:val="44C0A500"/>
    <w:rsid w:val="44C780CA"/>
    <w:rsid w:val="44F21883"/>
    <w:rsid w:val="44FDD666"/>
    <w:rsid w:val="44FE5F8F"/>
    <w:rsid w:val="450D698C"/>
    <w:rsid w:val="45425F48"/>
    <w:rsid w:val="454B7BB6"/>
    <w:rsid w:val="456361DF"/>
    <w:rsid w:val="4589684A"/>
    <w:rsid w:val="45ABB2CD"/>
    <w:rsid w:val="45C35C21"/>
    <w:rsid w:val="45CD422B"/>
    <w:rsid w:val="45E25104"/>
    <w:rsid w:val="462A64FC"/>
    <w:rsid w:val="46352E63"/>
    <w:rsid w:val="4643CDA1"/>
    <w:rsid w:val="464527BD"/>
    <w:rsid w:val="4656FF23"/>
    <w:rsid w:val="46670D68"/>
    <w:rsid w:val="467B6BC3"/>
    <w:rsid w:val="46BF1F15"/>
    <w:rsid w:val="46D29CED"/>
    <w:rsid w:val="46D4E15D"/>
    <w:rsid w:val="46EDDCC5"/>
    <w:rsid w:val="46F44D62"/>
    <w:rsid w:val="46FD88A6"/>
    <w:rsid w:val="4700AE89"/>
    <w:rsid w:val="4708AA6B"/>
    <w:rsid w:val="470B3B5A"/>
    <w:rsid w:val="472F5B50"/>
    <w:rsid w:val="4745D5FF"/>
    <w:rsid w:val="476BD14D"/>
    <w:rsid w:val="4780D092"/>
    <w:rsid w:val="478C65AE"/>
    <w:rsid w:val="478DA7E5"/>
    <w:rsid w:val="47C7F3C9"/>
    <w:rsid w:val="47D09753"/>
    <w:rsid w:val="47D18EE8"/>
    <w:rsid w:val="47D70E48"/>
    <w:rsid w:val="47F7BD31"/>
    <w:rsid w:val="481943CF"/>
    <w:rsid w:val="482E1C59"/>
    <w:rsid w:val="484FCC7D"/>
    <w:rsid w:val="485E07BD"/>
    <w:rsid w:val="4871D9F0"/>
    <w:rsid w:val="48919104"/>
    <w:rsid w:val="48A0BF77"/>
    <w:rsid w:val="48A94D08"/>
    <w:rsid w:val="48B0B7ED"/>
    <w:rsid w:val="48E5C66F"/>
    <w:rsid w:val="48EF70E3"/>
    <w:rsid w:val="48F906D6"/>
    <w:rsid w:val="48FCF752"/>
    <w:rsid w:val="491AB53B"/>
    <w:rsid w:val="491CA0F3"/>
    <w:rsid w:val="49202D0B"/>
    <w:rsid w:val="492440C1"/>
    <w:rsid w:val="49463C98"/>
    <w:rsid w:val="494DA505"/>
    <w:rsid w:val="4964CB0D"/>
    <w:rsid w:val="498A5205"/>
    <w:rsid w:val="498E9FE5"/>
    <w:rsid w:val="4995A881"/>
    <w:rsid w:val="49ABFE21"/>
    <w:rsid w:val="49C5EA30"/>
    <w:rsid w:val="4A0D86A7"/>
    <w:rsid w:val="4A146505"/>
    <w:rsid w:val="4A18264D"/>
    <w:rsid w:val="4A1D5FBD"/>
    <w:rsid w:val="4A1FD855"/>
    <w:rsid w:val="4A695C34"/>
    <w:rsid w:val="4A839140"/>
    <w:rsid w:val="4A95D98E"/>
    <w:rsid w:val="4A9C99CA"/>
    <w:rsid w:val="4ABEBA28"/>
    <w:rsid w:val="4AC01122"/>
    <w:rsid w:val="4AC4342C"/>
    <w:rsid w:val="4AC630F9"/>
    <w:rsid w:val="4AC7331C"/>
    <w:rsid w:val="4ADBC71A"/>
    <w:rsid w:val="4ADD8856"/>
    <w:rsid w:val="4AE05761"/>
    <w:rsid w:val="4AFE8FEC"/>
    <w:rsid w:val="4B085A81"/>
    <w:rsid w:val="4B51BAEB"/>
    <w:rsid w:val="4B692C37"/>
    <w:rsid w:val="4B7444C2"/>
    <w:rsid w:val="4B785A77"/>
    <w:rsid w:val="4BD634BA"/>
    <w:rsid w:val="4BE3948B"/>
    <w:rsid w:val="4BF922B5"/>
    <w:rsid w:val="4C0CB8B2"/>
    <w:rsid w:val="4C1F61A1"/>
    <w:rsid w:val="4C2A003F"/>
    <w:rsid w:val="4C69A90E"/>
    <w:rsid w:val="4C6A4D20"/>
    <w:rsid w:val="4C77977B"/>
    <w:rsid w:val="4C8545C7"/>
    <w:rsid w:val="4C86DB63"/>
    <w:rsid w:val="4C875635"/>
    <w:rsid w:val="4C87F269"/>
    <w:rsid w:val="4C8B02CD"/>
    <w:rsid w:val="4C9C147A"/>
    <w:rsid w:val="4CAAD286"/>
    <w:rsid w:val="4CC2F77B"/>
    <w:rsid w:val="4CEE58A3"/>
    <w:rsid w:val="4D0278C9"/>
    <w:rsid w:val="4D0940BB"/>
    <w:rsid w:val="4D13E148"/>
    <w:rsid w:val="4D28AC71"/>
    <w:rsid w:val="4D2974DE"/>
    <w:rsid w:val="4D2E6099"/>
    <w:rsid w:val="4D36DA74"/>
    <w:rsid w:val="4D4AD6C3"/>
    <w:rsid w:val="4D60079B"/>
    <w:rsid w:val="4D601AA9"/>
    <w:rsid w:val="4D7BB1D9"/>
    <w:rsid w:val="4D7D4437"/>
    <w:rsid w:val="4D93FF5D"/>
    <w:rsid w:val="4D971DB2"/>
    <w:rsid w:val="4D99CB71"/>
    <w:rsid w:val="4DAB8632"/>
    <w:rsid w:val="4DAD0A06"/>
    <w:rsid w:val="4DBF2BB3"/>
    <w:rsid w:val="4DD1DD94"/>
    <w:rsid w:val="4DDA2422"/>
    <w:rsid w:val="4DEB315F"/>
    <w:rsid w:val="4DFC19CA"/>
    <w:rsid w:val="4E0F52AA"/>
    <w:rsid w:val="4E1EF9EA"/>
    <w:rsid w:val="4E4B7861"/>
    <w:rsid w:val="4E607B40"/>
    <w:rsid w:val="4E6D15B3"/>
    <w:rsid w:val="4E6F55DE"/>
    <w:rsid w:val="4E8B6EF1"/>
    <w:rsid w:val="4EA6B6C1"/>
    <w:rsid w:val="4EBDCCEF"/>
    <w:rsid w:val="4EC5453F"/>
    <w:rsid w:val="4ECABC2F"/>
    <w:rsid w:val="4EDEF452"/>
    <w:rsid w:val="4EE76121"/>
    <w:rsid w:val="4F14AF4A"/>
    <w:rsid w:val="4F3265F2"/>
    <w:rsid w:val="4F396CB6"/>
    <w:rsid w:val="4F42C29C"/>
    <w:rsid w:val="4F48DA67"/>
    <w:rsid w:val="4F570263"/>
    <w:rsid w:val="4F61BE14"/>
    <w:rsid w:val="4F65DA5D"/>
    <w:rsid w:val="4F8B42AC"/>
    <w:rsid w:val="4F8C65F8"/>
    <w:rsid w:val="4FA5B665"/>
    <w:rsid w:val="4FC1CAD7"/>
    <w:rsid w:val="4FC2B723"/>
    <w:rsid w:val="4FCEA4F8"/>
    <w:rsid w:val="4FEA6829"/>
    <w:rsid w:val="4FEED81C"/>
    <w:rsid w:val="4FF928A9"/>
    <w:rsid w:val="4FFFC37C"/>
    <w:rsid w:val="500338B9"/>
    <w:rsid w:val="50288AED"/>
    <w:rsid w:val="50521690"/>
    <w:rsid w:val="50542C12"/>
    <w:rsid w:val="507AC4B3"/>
    <w:rsid w:val="507DD883"/>
    <w:rsid w:val="5088072B"/>
    <w:rsid w:val="50BC3675"/>
    <w:rsid w:val="50BFE1FE"/>
    <w:rsid w:val="50D0863F"/>
    <w:rsid w:val="50FC9BB5"/>
    <w:rsid w:val="5107B801"/>
    <w:rsid w:val="5109A9C4"/>
    <w:rsid w:val="5120C7D5"/>
    <w:rsid w:val="51490A25"/>
    <w:rsid w:val="51508556"/>
    <w:rsid w:val="516B17EF"/>
    <w:rsid w:val="516C190D"/>
    <w:rsid w:val="517E757F"/>
    <w:rsid w:val="51D4FE9F"/>
    <w:rsid w:val="51EAFC35"/>
    <w:rsid w:val="51FBAF6E"/>
    <w:rsid w:val="51FEF966"/>
    <w:rsid w:val="521E47E6"/>
    <w:rsid w:val="5228032F"/>
    <w:rsid w:val="5233A60A"/>
    <w:rsid w:val="5242DF9B"/>
    <w:rsid w:val="52551005"/>
    <w:rsid w:val="526A68FA"/>
    <w:rsid w:val="5275721B"/>
    <w:rsid w:val="527BFA36"/>
    <w:rsid w:val="5293F74D"/>
    <w:rsid w:val="529CD413"/>
    <w:rsid w:val="52BF0B06"/>
    <w:rsid w:val="52CA586F"/>
    <w:rsid w:val="52D47ECC"/>
    <w:rsid w:val="52E4CC2B"/>
    <w:rsid w:val="52E91A2F"/>
    <w:rsid w:val="52EAD65D"/>
    <w:rsid w:val="52EC9E84"/>
    <w:rsid w:val="52F3BF60"/>
    <w:rsid w:val="53211493"/>
    <w:rsid w:val="53284B41"/>
    <w:rsid w:val="5341B0F4"/>
    <w:rsid w:val="534250FF"/>
    <w:rsid w:val="5354DDD1"/>
    <w:rsid w:val="538BCCD4"/>
    <w:rsid w:val="53F13677"/>
    <w:rsid w:val="53F22133"/>
    <w:rsid w:val="5405D715"/>
    <w:rsid w:val="541AFAE1"/>
    <w:rsid w:val="54337BA9"/>
    <w:rsid w:val="544D97E3"/>
    <w:rsid w:val="54802591"/>
    <w:rsid w:val="54A3B9CF"/>
    <w:rsid w:val="54BB1376"/>
    <w:rsid w:val="54DE2160"/>
    <w:rsid w:val="54ECB6C8"/>
    <w:rsid w:val="54ECEB2C"/>
    <w:rsid w:val="54FF2B2A"/>
    <w:rsid w:val="5500E939"/>
    <w:rsid w:val="5521E95F"/>
    <w:rsid w:val="552A4525"/>
    <w:rsid w:val="552C56A5"/>
    <w:rsid w:val="5535550D"/>
    <w:rsid w:val="5552B3A5"/>
    <w:rsid w:val="55643D05"/>
    <w:rsid w:val="557A6227"/>
    <w:rsid w:val="5582F1C5"/>
    <w:rsid w:val="5596DA68"/>
    <w:rsid w:val="55D297EB"/>
    <w:rsid w:val="55D58427"/>
    <w:rsid w:val="560AD589"/>
    <w:rsid w:val="5612806B"/>
    <w:rsid w:val="561BF5F2"/>
    <w:rsid w:val="561D1EED"/>
    <w:rsid w:val="5621E030"/>
    <w:rsid w:val="56249AA4"/>
    <w:rsid w:val="5638C167"/>
    <w:rsid w:val="563B51C4"/>
    <w:rsid w:val="565D4D52"/>
    <w:rsid w:val="56942F60"/>
    <w:rsid w:val="56A07841"/>
    <w:rsid w:val="56A75DEB"/>
    <w:rsid w:val="56CC7140"/>
    <w:rsid w:val="56D932D8"/>
    <w:rsid w:val="56E23693"/>
    <w:rsid w:val="56EE4723"/>
    <w:rsid w:val="56F4CF5D"/>
    <w:rsid w:val="56FAA9C6"/>
    <w:rsid w:val="57090DF2"/>
    <w:rsid w:val="5714ED6D"/>
    <w:rsid w:val="572DA0BA"/>
    <w:rsid w:val="573B1901"/>
    <w:rsid w:val="576B3829"/>
    <w:rsid w:val="576CB2E6"/>
    <w:rsid w:val="5776F985"/>
    <w:rsid w:val="57AAA4BA"/>
    <w:rsid w:val="57CCDCBC"/>
    <w:rsid w:val="57EE2634"/>
    <w:rsid w:val="57FAEE0C"/>
    <w:rsid w:val="581516E4"/>
    <w:rsid w:val="58163824"/>
    <w:rsid w:val="5821F5D0"/>
    <w:rsid w:val="583F5FF6"/>
    <w:rsid w:val="58477C20"/>
    <w:rsid w:val="584C4412"/>
    <w:rsid w:val="5850A00F"/>
    <w:rsid w:val="58521A27"/>
    <w:rsid w:val="587A93EB"/>
    <w:rsid w:val="58990A20"/>
    <w:rsid w:val="58A12DC8"/>
    <w:rsid w:val="58A8857F"/>
    <w:rsid w:val="58A8A268"/>
    <w:rsid w:val="58B20A73"/>
    <w:rsid w:val="58BD2F85"/>
    <w:rsid w:val="58C51D0B"/>
    <w:rsid w:val="58C7F3CC"/>
    <w:rsid w:val="58EF77FD"/>
    <w:rsid w:val="58F2ED3A"/>
    <w:rsid w:val="58F7FD81"/>
    <w:rsid w:val="5905D22F"/>
    <w:rsid w:val="5909B4DD"/>
    <w:rsid w:val="592092C3"/>
    <w:rsid w:val="5942B7AB"/>
    <w:rsid w:val="5950EDDE"/>
    <w:rsid w:val="595321D7"/>
    <w:rsid w:val="59870004"/>
    <w:rsid w:val="5996B2D7"/>
    <w:rsid w:val="59A215C1"/>
    <w:rsid w:val="59A480C1"/>
    <w:rsid w:val="59E3D2EE"/>
    <w:rsid w:val="59FFD9D6"/>
    <w:rsid w:val="5A054ABE"/>
    <w:rsid w:val="5A0FB5EC"/>
    <w:rsid w:val="5A47DA01"/>
    <w:rsid w:val="5A9F8AAC"/>
    <w:rsid w:val="5ABBF017"/>
    <w:rsid w:val="5AC1EF4A"/>
    <w:rsid w:val="5AC31694"/>
    <w:rsid w:val="5AD16914"/>
    <w:rsid w:val="5AFF8C67"/>
    <w:rsid w:val="5B29B98D"/>
    <w:rsid w:val="5B45386A"/>
    <w:rsid w:val="5B9C4FF7"/>
    <w:rsid w:val="5BA73247"/>
    <w:rsid w:val="5BB5F664"/>
    <w:rsid w:val="5BCE46B6"/>
    <w:rsid w:val="5BE7C668"/>
    <w:rsid w:val="5BF2AA0A"/>
    <w:rsid w:val="5C3336E4"/>
    <w:rsid w:val="5C384362"/>
    <w:rsid w:val="5C426C28"/>
    <w:rsid w:val="5C4C30FD"/>
    <w:rsid w:val="5C4D6572"/>
    <w:rsid w:val="5C5B8C89"/>
    <w:rsid w:val="5C64ED80"/>
    <w:rsid w:val="5CA25F2C"/>
    <w:rsid w:val="5CE44B77"/>
    <w:rsid w:val="5CE6C66A"/>
    <w:rsid w:val="5CFA659C"/>
    <w:rsid w:val="5CFCAD25"/>
    <w:rsid w:val="5D05839C"/>
    <w:rsid w:val="5D4250E8"/>
    <w:rsid w:val="5D450015"/>
    <w:rsid w:val="5D962398"/>
    <w:rsid w:val="5D9BFDE3"/>
    <w:rsid w:val="5DA2EF71"/>
    <w:rsid w:val="5DAD9C22"/>
    <w:rsid w:val="5DC2E920"/>
    <w:rsid w:val="5DCF0745"/>
    <w:rsid w:val="5DD413C3"/>
    <w:rsid w:val="5DE936DF"/>
    <w:rsid w:val="5DF24BDC"/>
    <w:rsid w:val="5DFBB39C"/>
    <w:rsid w:val="5E13F476"/>
    <w:rsid w:val="5E291D87"/>
    <w:rsid w:val="5E2FCDBC"/>
    <w:rsid w:val="5E35B381"/>
    <w:rsid w:val="5E360973"/>
    <w:rsid w:val="5E544D46"/>
    <w:rsid w:val="5E55469D"/>
    <w:rsid w:val="5E584F4D"/>
    <w:rsid w:val="5E66C30D"/>
    <w:rsid w:val="5E6D1E5F"/>
    <w:rsid w:val="5E7E5C63"/>
    <w:rsid w:val="5E976C5E"/>
    <w:rsid w:val="5EB1F1D4"/>
    <w:rsid w:val="5EC4626F"/>
    <w:rsid w:val="5EC74626"/>
    <w:rsid w:val="5EE02D2D"/>
    <w:rsid w:val="5EE0D076"/>
    <w:rsid w:val="5EE93237"/>
    <w:rsid w:val="5F2A4ACC"/>
    <w:rsid w:val="5F2BBAE6"/>
    <w:rsid w:val="5F376D47"/>
    <w:rsid w:val="5F4ACADE"/>
    <w:rsid w:val="5F4B3FBD"/>
    <w:rsid w:val="5F9B76A2"/>
    <w:rsid w:val="5FA8FBA9"/>
    <w:rsid w:val="5FADCED7"/>
    <w:rsid w:val="5FBFC74B"/>
    <w:rsid w:val="5FD2CFBB"/>
    <w:rsid w:val="60281258"/>
    <w:rsid w:val="6046857C"/>
    <w:rsid w:val="60557252"/>
    <w:rsid w:val="6056BBFA"/>
    <w:rsid w:val="605C112C"/>
    <w:rsid w:val="605F7407"/>
    <w:rsid w:val="6065E257"/>
    <w:rsid w:val="606C898C"/>
    <w:rsid w:val="6074D690"/>
    <w:rsid w:val="6097A55E"/>
    <w:rsid w:val="60AC3FAD"/>
    <w:rsid w:val="60B85B9E"/>
    <w:rsid w:val="60D4850E"/>
    <w:rsid w:val="60DD55B5"/>
    <w:rsid w:val="60EE9FC9"/>
    <w:rsid w:val="60F3F719"/>
    <w:rsid w:val="60F5A865"/>
    <w:rsid w:val="610D90A9"/>
    <w:rsid w:val="6115DD4B"/>
    <w:rsid w:val="612DE60F"/>
    <w:rsid w:val="612EFDAC"/>
    <w:rsid w:val="613A5B70"/>
    <w:rsid w:val="6150A893"/>
    <w:rsid w:val="61568D73"/>
    <w:rsid w:val="6181857B"/>
    <w:rsid w:val="618BA026"/>
    <w:rsid w:val="619148C2"/>
    <w:rsid w:val="6193ED0E"/>
    <w:rsid w:val="61A5D97E"/>
    <w:rsid w:val="61A76010"/>
    <w:rsid w:val="61DDB42D"/>
    <w:rsid w:val="61F6F6F3"/>
    <w:rsid w:val="6228E480"/>
    <w:rsid w:val="622D8606"/>
    <w:rsid w:val="6238C1CE"/>
    <w:rsid w:val="6243199C"/>
    <w:rsid w:val="62436F0A"/>
    <w:rsid w:val="6244CD49"/>
    <w:rsid w:val="62575B24"/>
    <w:rsid w:val="625FB69A"/>
    <w:rsid w:val="6260D395"/>
    <w:rsid w:val="626F0209"/>
    <w:rsid w:val="6289E313"/>
    <w:rsid w:val="62BF09E9"/>
    <w:rsid w:val="62C159EB"/>
    <w:rsid w:val="62C5BCFF"/>
    <w:rsid w:val="62CF0785"/>
    <w:rsid w:val="62D42318"/>
    <w:rsid w:val="62D56F04"/>
    <w:rsid w:val="62D94BE2"/>
    <w:rsid w:val="62DD7CC7"/>
    <w:rsid w:val="631855A1"/>
    <w:rsid w:val="633625D3"/>
    <w:rsid w:val="63382DC3"/>
    <w:rsid w:val="633FE15C"/>
    <w:rsid w:val="6355758E"/>
    <w:rsid w:val="636B72EA"/>
    <w:rsid w:val="639CD5AB"/>
    <w:rsid w:val="639D6FD5"/>
    <w:rsid w:val="64052E4D"/>
    <w:rsid w:val="6405C3D1"/>
    <w:rsid w:val="642CD288"/>
    <w:rsid w:val="6436F856"/>
    <w:rsid w:val="645C8492"/>
    <w:rsid w:val="6477ECEB"/>
    <w:rsid w:val="64934594"/>
    <w:rsid w:val="64AB5FC4"/>
    <w:rsid w:val="64C1CB1F"/>
    <w:rsid w:val="64D735A7"/>
    <w:rsid w:val="64E1DFB2"/>
    <w:rsid w:val="64E67DFB"/>
    <w:rsid w:val="64ED6D31"/>
    <w:rsid w:val="64F72E69"/>
    <w:rsid w:val="6501CF06"/>
    <w:rsid w:val="6538B51A"/>
    <w:rsid w:val="653F4B7A"/>
    <w:rsid w:val="654A36E3"/>
    <w:rsid w:val="656DE02A"/>
    <w:rsid w:val="658BFD1E"/>
    <w:rsid w:val="65ADC7CA"/>
    <w:rsid w:val="65C0D961"/>
    <w:rsid w:val="6600CCDD"/>
    <w:rsid w:val="662ABC13"/>
    <w:rsid w:val="663803CA"/>
    <w:rsid w:val="6647F650"/>
    <w:rsid w:val="66491C92"/>
    <w:rsid w:val="66530E27"/>
    <w:rsid w:val="665EB644"/>
    <w:rsid w:val="666C120E"/>
    <w:rsid w:val="666E78B1"/>
    <w:rsid w:val="66776330"/>
    <w:rsid w:val="66788E70"/>
    <w:rsid w:val="667DFD53"/>
    <w:rsid w:val="669B48EA"/>
    <w:rsid w:val="66C3B0E2"/>
    <w:rsid w:val="66CAA569"/>
    <w:rsid w:val="66CD4691"/>
    <w:rsid w:val="66DBCB10"/>
    <w:rsid w:val="66F842F3"/>
    <w:rsid w:val="6700B3CE"/>
    <w:rsid w:val="6722F8B5"/>
    <w:rsid w:val="67275E24"/>
    <w:rsid w:val="67282B38"/>
    <w:rsid w:val="673060EC"/>
    <w:rsid w:val="675AD6B8"/>
    <w:rsid w:val="6761ECB3"/>
    <w:rsid w:val="6764C721"/>
    <w:rsid w:val="676E2D17"/>
    <w:rsid w:val="677EED0C"/>
    <w:rsid w:val="67CE7B1A"/>
    <w:rsid w:val="67E03797"/>
    <w:rsid w:val="67F95044"/>
    <w:rsid w:val="67FF4B55"/>
    <w:rsid w:val="68145ED1"/>
    <w:rsid w:val="683D1843"/>
    <w:rsid w:val="685D5826"/>
    <w:rsid w:val="6893A161"/>
    <w:rsid w:val="68C49543"/>
    <w:rsid w:val="68D3B1D0"/>
    <w:rsid w:val="68D763B1"/>
    <w:rsid w:val="68DADB46"/>
    <w:rsid w:val="6903793A"/>
    <w:rsid w:val="690782EF"/>
    <w:rsid w:val="690E214B"/>
    <w:rsid w:val="690FB090"/>
    <w:rsid w:val="691F08D4"/>
    <w:rsid w:val="6930DB36"/>
    <w:rsid w:val="6943B564"/>
    <w:rsid w:val="6953C065"/>
    <w:rsid w:val="696DBC15"/>
    <w:rsid w:val="69A713B7"/>
    <w:rsid w:val="69D8E8A4"/>
    <w:rsid w:val="69F3F731"/>
    <w:rsid w:val="6A329314"/>
    <w:rsid w:val="6A409ABD"/>
    <w:rsid w:val="6A417795"/>
    <w:rsid w:val="6A49742C"/>
    <w:rsid w:val="6A4C9E68"/>
    <w:rsid w:val="6A596B7D"/>
    <w:rsid w:val="6A5F45DF"/>
    <w:rsid w:val="6A61CF59"/>
    <w:rsid w:val="6A6BAD37"/>
    <w:rsid w:val="6A748DC0"/>
    <w:rsid w:val="6A9B78EA"/>
    <w:rsid w:val="6AA64B1D"/>
    <w:rsid w:val="6AB34373"/>
    <w:rsid w:val="6ADE627C"/>
    <w:rsid w:val="6AFAD809"/>
    <w:rsid w:val="6B028718"/>
    <w:rsid w:val="6B048223"/>
    <w:rsid w:val="6B16F87E"/>
    <w:rsid w:val="6B27187E"/>
    <w:rsid w:val="6B29CB12"/>
    <w:rsid w:val="6B2A0EE2"/>
    <w:rsid w:val="6B404FD3"/>
    <w:rsid w:val="6B4AF341"/>
    <w:rsid w:val="6B4C859F"/>
    <w:rsid w:val="6B62E6A3"/>
    <w:rsid w:val="6B641B9E"/>
    <w:rsid w:val="6B6CBA85"/>
    <w:rsid w:val="6B86F85E"/>
    <w:rsid w:val="6B8BAAC0"/>
    <w:rsid w:val="6BA11EFC"/>
    <w:rsid w:val="6BDE7633"/>
    <w:rsid w:val="6C221595"/>
    <w:rsid w:val="6C26DCD7"/>
    <w:rsid w:val="6C3154CE"/>
    <w:rsid w:val="6C36A9C0"/>
    <w:rsid w:val="6C43C6CF"/>
    <w:rsid w:val="6C4B1E5C"/>
    <w:rsid w:val="6C608E72"/>
    <w:rsid w:val="6C9869BD"/>
    <w:rsid w:val="6C9A7195"/>
    <w:rsid w:val="6C9F5A99"/>
    <w:rsid w:val="6CACC2E6"/>
    <w:rsid w:val="6CD91CF0"/>
    <w:rsid w:val="6CF60E8B"/>
    <w:rsid w:val="6D0519F6"/>
    <w:rsid w:val="6D25F31D"/>
    <w:rsid w:val="6D2E3151"/>
    <w:rsid w:val="6D31E437"/>
    <w:rsid w:val="6D347380"/>
    <w:rsid w:val="6D464708"/>
    <w:rsid w:val="6D4C52E5"/>
    <w:rsid w:val="6D83A461"/>
    <w:rsid w:val="6DA34DF9"/>
    <w:rsid w:val="6DEF54D2"/>
    <w:rsid w:val="6E00B3BB"/>
    <w:rsid w:val="6E134DC3"/>
    <w:rsid w:val="6E172EAB"/>
    <w:rsid w:val="6E25071F"/>
    <w:rsid w:val="6E7804A8"/>
    <w:rsid w:val="6E82B1FC"/>
    <w:rsid w:val="6E9580EC"/>
    <w:rsid w:val="6EA7390F"/>
    <w:rsid w:val="6EB95C9D"/>
    <w:rsid w:val="6EBC2D04"/>
    <w:rsid w:val="6EBF32CD"/>
    <w:rsid w:val="6ECCB2CA"/>
    <w:rsid w:val="6ED50213"/>
    <w:rsid w:val="6F076788"/>
    <w:rsid w:val="6F1120F6"/>
    <w:rsid w:val="6F2419FB"/>
    <w:rsid w:val="6F24840B"/>
    <w:rsid w:val="6F3CD962"/>
    <w:rsid w:val="6F59568A"/>
    <w:rsid w:val="6F8A609A"/>
    <w:rsid w:val="6FAAF727"/>
    <w:rsid w:val="7023F2D1"/>
    <w:rsid w:val="7027F3B0"/>
    <w:rsid w:val="702B85A6"/>
    <w:rsid w:val="70378CC1"/>
    <w:rsid w:val="705E6F6B"/>
    <w:rsid w:val="705F1918"/>
    <w:rsid w:val="706338B5"/>
    <w:rsid w:val="706984F9"/>
    <w:rsid w:val="70ECC381"/>
    <w:rsid w:val="71000AD3"/>
    <w:rsid w:val="710480A5"/>
    <w:rsid w:val="71189B32"/>
    <w:rsid w:val="711DAF10"/>
    <w:rsid w:val="7133A060"/>
    <w:rsid w:val="715C461E"/>
    <w:rsid w:val="718E8D71"/>
    <w:rsid w:val="71A73A5D"/>
    <w:rsid w:val="71ACF20A"/>
    <w:rsid w:val="71CA9982"/>
    <w:rsid w:val="71E08286"/>
    <w:rsid w:val="71E6879E"/>
    <w:rsid w:val="71E8E30A"/>
    <w:rsid w:val="71EEF985"/>
    <w:rsid w:val="71F0577A"/>
    <w:rsid w:val="71F85531"/>
    <w:rsid w:val="7207F6D8"/>
    <w:rsid w:val="722A47A6"/>
    <w:rsid w:val="72424560"/>
    <w:rsid w:val="727790F2"/>
    <w:rsid w:val="729F00F7"/>
    <w:rsid w:val="72A84561"/>
    <w:rsid w:val="72C968A4"/>
    <w:rsid w:val="72D7BD7C"/>
    <w:rsid w:val="72DBDE12"/>
    <w:rsid w:val="72EA52CE"/>
    <w:rsid w:val="72F24054"/>
    <w:rsid w:val="72FB8DA5"/>
    <w:rsid w:val="7308B3E6"/>
    <w:rsid w:val="733EFD45"/>
    <w:rsid w:val="734F68BE"/>
    <w:rsid w:val="735BF22F"/>
    <w:rsid w:val="736669E3"/>
    <w:rsid w:val="7379242E"/>
    <w:rsid w:val="73D05FBB"/>
    <w:rsid w:val="73DD9917"/>
    <w:rsid w:val="74187CC9"/>
    <w:rsid w:val="74429EE4"/>
    <w:rsid w:val="74493F88"/>
    <w:rsid w:val="7453B131"/>
    <w:rsid w:val="74651FA1"/>
    <w:rsid w:val="748E10B5"/>
    <w:rsid w:val="749CDB01"/>
    <w:rsid w:val="749F4B8C"/>
    <w:rsid w:val="74B43933"/>
    <w:rsid w:val="74B8B057"/>
    <w:rsid w:val="74CE9C67"/>
    <w:rsid w:val="74D49ECF"/>
    <w:rsid w:val="74FE7F48"/>
    <w:rsid w:val="74FFA32E"/>
    <w:rsid w:val="752978A8"/>
    <w:rsid w:val="7530A41F"/>
    <w:rsid w:val="75394336"/>
    <w:rsid w:val="75626CC9"/>
    <w:rsid w:val="756D837F"/>
    <w:rsid w:val="7571AF62"/>
    <w:rsid w:val="7575C318"/>
    <w:rsid w:val="759CC060"/>
    <w:rsid w:val="75B42B71"/>
    <w:rsid w:val="75B87C77"/>
    <w:rsid w:val="75CEE8C8"/>
    <w:rsid w:val="75CEE8F8"/>
    <w:rsid w:val="75D70041"/>
    <w:rsid w:val="75FB9AC9"/>
    <w:rsid w:val="75FDB925"/>
    <w:rsid w:val="76550DDB"/>
    <w:rsid w:val="766B741E"/>
    <w:rsid w:val="76706F30"/>
    <w:rsid w:val="76D51397"/>
    <w:rsid w:val="76D8C67D"/>
    <w:rsid w:val="76F3352B"/>
    <w:rsid w:val="76F9C14A"/>
    <w:rsid w:val="76FAEEE5"/>
    <w:rsid w:val="7704A2EA"/>
    <w:rsid w:val="7705F568"/>
    <w:rsid w:val="7714F285"/>
    <w:rsid w:val="771ABCF6"/>
    <w:rsid w:val="77202BAC"/>
    <w:rsid w:val="772F1086"/>
    <w:rsid w:val="7739E86B"/>
    <w:rsid w:val="7741A670"/>
    <w:rsid w:val="775D5786"/>
    <w:rsid w:val="7772A941"/>
    <w:rsid w:val="77827EDF"/>
    <w:rsid w:val="7793244F"/>
    <w:rsid w:val="779A4B20"/>
    <w:rsid w:val="77A06D19"/>
    <w:rsid w:val="77BBD796"/>
    <w:rsid w:val="77DC967D"/>
    <w:rsid w:val="77DCD686"/>
    <w:rsid w:val="77E285EA"/>
    <w:rsid w:val="77F17BBC"/>
    <w:rsid w:val="77F9EF1F"/>
    <w:rsid w:val="781B376F"/>
    <w:rsid w:val="7821F5A9"/>
    <w:rsid w:val="785EFF6E"/>
    <w:rsid w:val="7861196A"/>
    <w:rsid w:val="7870FCEE"/>
    <w:rsid w:val="787272FF"/>
    <w:rsid w:val="7899CB30"/>
    <w:rsid w:val="78B5B9CC"/>
    <w:rsid w:val="78B74AD4"/>
    <w:rsid w:val="78D8D88C"/>
    <w:rsid w:val="78E3F612"/>
    <w:rsid w:val="78EDEE26"/>
    <w:rsid w:val="78F2776F"/>
    <w:rsid w:val="78F85E6E"/>
    <w:rsid w:val="78FB6A3E"/>
    <w:rsid w:val="79067DC7"/>
    <w:rsid w:val="7912A9E1"/>
    <w:rsid w:val="791D1A4E"/>
    <w:rsid w:val="79260ADB"/>
    <w:rsid w:val="792C7161"/>
    <w:rsid w:val="792FB472"/>
    <w:rsid w:val="79419698"/>
    <w:rsid w:val="794D4847"/>
    <w:rsid w:val="79588B0D"/>
    <w:rsid w:val="7961052E"/>
    <w:rsid w:val="79675803"/>
    <w:rsid w:val="7967C259"/>
    <w:rsid w:val="79964F82"/>
    <w:rsid w:val="79A9752E"/>
    <w:rsid w:val="79C1EB72"/>
    <w:rsid w:val="79C351C1"/>
    <w:rsid w:val="79D4FE1D"/>
    <w:rsid w:val="79DDD197"/>
    <w:rsid w:val="79EC10B7"/>
    <w:rsid w:val="79FEAD33"/>
    <w:rsid w:val="7A17B4BA"/>
    <w:rsid w:val="7A29CD05"/>
    <w:rsid w:val="7A37F898"/>
    <w:rsid w:val="7A4AF35C"/>
    <w:rsid w:val="7A4D8312"/>
    <w:rsid w:val="7A531B35"/>
    <w:rsid w:val="7A707917"/>
    <w:rsid w:val="7A7849DE"/>
    <w:rsid w:val="7A7BAAC5"/>
    <w:rsid w:val="7A9DB3E9"/>
    <w:rsid w:val="7AAA35A6"/>
    <w:rsid w:val="7AC06233"/>
    <w:rsid w:val="7ADAD13B"/>
    <w:rsid w:val="7AF65529"/>
    <w:rsid w:val="7AF9C11C"/>
    <w:rsid w:val="7B0F60C6"/>
    <w:rsid w:val="7B3CC5C5"/>
    <w:rsid w:val="7B5F4908"/>
    <w:rsid w:val="7B717BC8"/>
    <w:rsid w:val="7B92F974"/>
    <w:rsid w:val="7BE1475E"/>
    <w:rsid w:val="7BEDD816"/>
    <w:rsid w:val="7C054ADB"/>
    <w:rsid w:val="7C1C46FE"/>
    <w:rsid w:val="7C2D15C3"/>
    <w:rsid w:val="7C3FC044"/>
    <w:rsid w:val="7C41C0D5"/>
    <w:rsid w:val="7C54BB10"/>
    <w:rsid w:val="7C61CEEA"/>
    <w:rsid w:val="7C6CFAA9"/>
    <w:rsid w:val="7C99229A"/>
    <w:rsid w:val="7C9C47AD"/>
    <w:rsid w:val="7CB545CF"/>
    <w:rsid w:val="7CB63BB6"/>
    <w:rsid w:val="7CCA4D78"/>
    <w:rsid w:val="7CDE6E80"/>
    <w:rsid w:val="7D2FEB03"/>
    <w:rsid w:val="7D5180CB"/>
    <w:rsid w:val="7D528609"/>
    <w:rsid w:val="7D6398EA"/>
    <w:rsid w:val="7D6DCC77"/>
    <w:rsid w:val="7D73A925"/>
    <w:rsid w:val="7D745478"/>
    <w:rsid w:val="7D8ABBF7"/>
    <w:rsid w:val="7DAAF742"/>
    <w:rsid w:val="7DB172A4"/>
    <w:rsid w:val="7DC15F49"/>
    <w:rsid w:val="7DD373A7"/>
    <w:rsid w:val="7DD76314"/>
    <w:rsid w:val="7DDAD70E"/>
    <w:rsid w:val="7DEFA2AD"/>
    <w:rsid w:val="7DF772E6"/>
    <w:rsid w:val="7E0D176A"/>
    <w:rsid w:val="7E14A4D3"/>
    <w:rsid w:val="7E294A79"/>
    <w:rsid w:val="7E3A2BB6"/>
    <w:rsid w:val="7E4E0F82"/>
    <w:rsid w:val="7E83B70C"/>
    <w:rsid w:val="7E940C59"/>
    <w:rsid w:val="7E98541F"/>
    <w:rsid w:val="7E9E498E"/>
    <w:rsid w:val="7EAB87AC"/>
    <w:rsid w:val="7EB3923C"/>
    <w:rsid w:val="7EB56607"/>
    <w:rsid w:val="7EB92871"/>
    <w:rsid w:val="7EC08E9F"/>
    <w:rsid w:val="7ED19BBD"/>
    <w:rsid w:val="7EDC7FCC"/>
    <w:rsid w:val="7F2578D8"/>
    <w:rsid w:val="7F3333A8"/>
    <w:rsid w:val="7F3BCD0D"/>
    <w:rsid w:val="7F57CF12"/>
    <w:rsid w:val="7F57DDC7"/>
    <w:rsid w:val="7F5D4374"/>
    <w:rsid w:val="7F6ED8FA"/>
    <w:rsid w:val="7F73D300"/>
    <w:rsid w:val="7F7B78EF"/>
    <w:rsid w:val="7F824BC2"/>
    <w:rsid w:val="7F8C7AC0"/>
    <w:rsid w:val="7F9AD1E0"/>
    <w:rsid w:val="7FB8E2E5"/>
    <w:rsid w:val="7FC0E8C2"/>
    <w:rsid w:val="7FC59BE9"/>
    <w:rsid w:val="7FCDE6FA"/>
    <w:rsid w:val="7FD1D05E"/>
    <w:rsid w:val="7FE4F260"/>
    <w:rsid w:val="7FE503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CC7D1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PlaceholderText">
    <w:name w:val="Placeholder Text"/>
    <w:basedOn w:val="DefaultParagraphFont"/>
    <w:uiPriority w:val="99"/>
    <w:semiHidden/>
    <w:rsid w:val="00C36839"/>
    <w:rPr>
      <w:color w:val="808080"/>
    </w:rPr>
  </w:style>
  <w:style w:type="character" w:customStyle="1" w:styleId="Heading4Char">
    <w:name w:val="Heading 4 Char"/>
    <w:basedOn w:val="DefaultParagraphFont"/>
    <w:link w:val="Heading4"/>
    <w:uiPriority w:val="9"/>
    <w:semiHidden/>
    <w:rsid w:val="00CC7D1E"/>
    <w:rPr>
      <w:rFonts w:asciiTheme="majorHAnsi" w:eastAsiaTheme="majorEastAsia" w:hAnsiTheme="majorHAnsi" w:cstheme="majorBidi"/>
      <w:i/>
      <w:iCs/>
      <w:color w:val="365F91" w:themeColor="accent1" w:themeShade="BF"/>
    </w:rPr>
  </w:style>
  <w:style w:type="character" w:styleId="Emphasis">
    <w:name w:val="Emphasis"/>
    <w:basedOn w:val="DefaultParagraphFont"/>
    <w:uiPriority w:val="20"/>
    <w:qFormat/>
    <w:rsid w:val="00CC7D1E"/>
    <w:rPr>
      <w:i/>
      <w:iCs/>
    </w:rPr>
  </w:style>
  <w:style w:type="character" w:styleId="UnresolvedMention">
    <w:name w:val="Unresolved Mention"/>
    <w:basedOn w:val="DefaultParagraphFont"/>
    <w:uiPriority w:val="99"/>
    <w:semiHidden/>
    <w:unhideWhenUsed/>
    <w:rsid w:val="00BD5EC1"/>
    <w:rPr>
      <w:color w:val="605E5C"/>
      <w:shd w:val="clear" w:color="auto" w:fill="E1DFDD"/>
    </w:rPr>
  </w:style>
  <w:style w:type="paragraph" w:styleId="Revision">
    <w:name w:val="Revision"/>
    <w:hidden/>
    <w:uiPriority w:val="99"/>
    <w:semiHidden/>
    <w:rsid w:val="006949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400132343">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doi.org/10.7289/V5KH0KK6" TargetMode="External"/><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doi.org/10.5067/VIIRS/VNP14A1.0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onaf.cl/incendios-forestales/combate-de-incendios-forestales/deteccion-de-incendios-forestales/" TargetMode="External"/><Relationship Id="rId32" Type="http://schemas.openxmlformats.org/officeDocument/2006/relationships/hyperlink" Target="https://doi.org/10.1016/j.gloplacha.2016.10.004" TargetMode="External"/><Relationship Id="rId37" Type="http://schemas.openxmlformats.org/officeDocument/2006/relationships/footer" Target="footer2.xml"/><Relationship Id="rId40"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doi.org/10.5067/VIIRS/VNP21A1D.001"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doi.org/10.3390/s1924547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dx.doi.org/10.4067/S0717-92002011000300002" TargetMode="External"/><Relationship Id="rId30" Type="http://schemas.openxmlformats.org/officeDocument/2006/relationships/hyperlink" Target="https://doi.org/10.1016/j.gloplacha.2016.10.004"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doi.org/10.14195/1647-7723_19_12" TargetMode="External"/><Relationship Id="rId33" Type="http://schemas.openxmlformats.org/officeDocument/2006/relationships/hyperlink" Target="https://doi.org/10.5066/F71835S6" TargetMode="External"/><Relationship Id="rId38" Type="http://schemas.openxmlformats.org/officeDocument/2006/relationships/fontTable" Target="fontTable.xml"/><Relationship Id="rId46" Type="http://schemas.microsoft.com/office/2020/10/relationships/intelligence" Target="intelligence2.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documenttasks/documenttasks1.xml><?xml version="1.0" encoding="utf-8"?>
<t:Tasks xmlns:t="http://schemas.microsoft.com/office/tasks/2019/documenttasks" xmlns:oel="http://schemas.microsoft.com/office/2019/extlst">
  <t:Task id="{4EE3226B-28E9-4000-A985-388DE21EE1D2}">
    <t:Anchor>
      <t:Comment id="339307230"/>
    </t:Anchor>
    <t:History>
      <t:Event id="{4D452D23-C741-462B-A62A-00A003F8D567}" time="2022-07-28T16:18:38.954Z">
        <t:Attribution userId="S::christopher.matechik@ssaihq.com::1edc8a7f-9bbf-4231-8a83-8ec894a2690b" userProvider="AD" userName="Christopher Matechik"/>
        <t:Anchor>
          <t:Comment id="339307230"/>
        </t:Anchor>
        <t:Create/>
      </t:Event>
      <t:Event id="{98A107E8-911B-4D4F-BC1B-C4D61CC6E8BC}" time="2022-07-28T16:18:38.954Z">
        <t:Attribution userId="S::christopher.matechik@ssaihq.com::1edc8a7f-9bbf-4231-8a83-8ec894a2690b" userProvider="AD" userName="Christopher Matechik"/>
        <t:Anchor>
          <t:Comment id="339307230"/>
        </t:Anchor>
        <t:Assign userId="S::rueben.alter@ssaihq.com::5844a5e0-a0ce-40ca-b8f2-12aade60cd0f" userProvider="AD" userName="Reuben Alter"/>
      </t:Event>
      <t:Event id="{C5AB74D1-BE38-412E-8BFD-5D0CAEB81886}" time="2022-07-28T16:18:38.954Z">
        <t:Attribution userId="S::christopher.matechik@ssaihq.com::1edc8a7f-9bbf-4231-8a83-8ec894a2690b" userProvider="AD" userName="Christopher Matechik"/>
        <t:Anchor>
          <t:Comment id="339307230"/>
        </t:Anchor>
        <t:SetTitle title="@Reuben Alter I'll let you fill this in, but there is no rush right now."/>
      </t:Event>
    </t:History>
  </t:Task>
  <t:Task id="{07E67137-80CE-4BE1-905E-F03B7FDE0A38}">
    <t:Anchor>
      <t:Comment id="2027636487"/>
    </t:Anchor>
    <t:History>
      <t:Event id="{5ADB83BF-3F71-4285-B6B7-D9D49848AE12}" time="2022-07-28T16:30:31.47Z">
        <t:Attribution userId="S::christopher.matechik@ssaihq.com::1edc8a7f-9bbf-4231-8a83-8ec894a2690b" userProvider="AD" userName="Christopher Matechik"/>
        <t:Anchor>
          <t:Comment id="2027636487"/>
        </t:Anchor>
        <t:Create/>
      </t:Event>
      <t:Event id="{3F8B1E60-518F-4E43-AE8B-1DB503358A85}" time="2022-07-28T16:30:31.47Z">
        <t:Attribution userId="S::christopher.matechik@ssaihq.com::1edc8a7f-9bbf-4231-8a83-8ec894a2690b" userProvider="AD" userName="Christopher Matechik"/>
        <t:Anchor>
          <t:Comment id="2027636487"/>
        </t:Anchor>
        <t:Assign userId="S::jennifer.ruiz@ssaihq.com::b00f34d3-187b-48ee-aa11-814b46df8a54" userProvider="AD" userName="Jennifer Ruiz"/>
      </t:Event>
      <t:Event id="{1101C658-58FE-4FCE-833C-E355AEA84A81}" time="2022-07-28T16:30:31.47Z">
        <t:Attribution userId="S::christopher.matechik@ssaihq.com::1edc8a7f-9bbf-4231-8a83-8ec894a2690b" userProvider="AD" userName="Christopher Matechik"/>
        <t:Anchor>
          <t:Comment id="2027636487"/>
        </t:Anchor>
        <t:SetTitle title="@Jennifer Ruiz"/>
      </t:Event>
      <t:Event id="{C45E9F6C-102F-474B-B3F6-762DC94F59BC}" time="2022-07-28T17:09:32.572Z">
        <t:Attribution userId="S::jennifer.ruiz@ssaihq.com::b00f34d3-187b-48ee-aa11-814b46df8a54" userProvider="AD" userName="Jennifer Ruiz"/>
        <t:Progress percentComplete="100"/>
      </t:Event>
    </t:History>
  </t:Task>
  <t:Task id="{33556F3D-3049-4A34-9BCC-A86FDD824196}">
    <t:Anchor>
      <t:Comment id="206531359"/>
    </t:Anchor>
    <t:History>
      <t:Event id="{529472A4-3B65-441F-85CA-B5B536BEA835}" time="2022-07-28T19:07:40.636Z">
        <t:Attribution userId="S::christopher.matechik@ssaihq.com::1edc8a7f-9bbf-4231-8a83-8ec894a2690b" userProvider="AD" userName="Christopher Matechik"/>
        <t:Anchor>
          <t:Comment id="1961645923"/>
        </t:Anchor>
        <t:Create/>
      </t:Event>
      <t:Event id="{4F63776F-9EAD-48C5-A70B-85D233023ADD}" time="2022-07-28T19:07:40.636Z">
        <t:Attribution userId="S::christopher.matechik@ssaihq.com::1edc8a7f-9bbf-4231-8a83-8ec894a2690b" userProvider="AD" userName="Christopher Matechik"/>
        <t:Anchor>
          <t:Comment id="1961645923"/>
        </t:Anchor>
        <t:Assign userId="S::jennifer.ruiz@ssaihq.com::b00f34d3-187b-48ee-aa11-814b46df8a54" userProvider="AD" userName="Jennifer Ruiz"/>
      </t:Event>
      <t:Event id="{BDE6681C-2B02-48BC-AF44-05317422BD20}" time="2022-07-28T19:07:40.636Z">
        <t:Attribution userId="S::christopher.matechik@ssaihq.com::1edc8a7f-9bbf-4231-8a83-8ec894a2690b" userProvider="AD" userName="Christopher Matechik"/>
        <t:Anchor>
          <t:Comment id="1961645923"/>
        </t:Anchor>
        <t:SetTitle title="@Jennifer Ruiz"/>
      </t:Event>
      <t:Event id="{0202D91B-F174-48D8-B2B1-59DABC998474}" time="2022-07-28T22:45:33.682Z">
        <t:Attribution userId="S::jennifer.ruiz@ssaihq.com::b00f34d3-187b-48ee-aa11-814b46df8a54" userProvider="AD" userName="Jennifer Ruiz"/>
        <t:Progress percentComplete="100"/>
      </t:Event>
    </t:History>
  </t:Task>
  <t:Task id="{5CCAFF16-8CC2-4144-9E26-DC28E009506E}">
    <t:Anchor>
      <t:Comment id="484006886"/>
    </t:Anchor>
    <t:History>
      <t:Event id="{0AE4D143-B3B1-46D2-9C5F-D2E27F5B7F54}" time="2022-07-28T19:32:24.347Z">
        <t:Attribution userId="S::christopher.matechik@ssaihq.com::1edc8a7f-9bbf-4231-8a83-8ec894a2690b" userProvider="AD" userName="Christopher Matechik"/>
        <t:Anchor>
          <t:Comment id="484006886"/>
        </t:Anchor>
        <t:Create/>
      </t:Event>
      <t:Event id="{D2DC7540-41E0-4181-BCAA-4C9AA024CA57}" time="2022-07-28T19:32:24.347Z">
        <t:Attribution userId="S::christopher.matechik@ssaihq.com::1edc8a7f-9bbf-4231-8a83-8ec894a2690b" userProvider="AD" userName="Christopher Matechik"/>
        <t:Anchor>
          <t:Comment id="484006886"/>
        </t:Anchor>
        <t:Assign userId="S::stephen.sene@ssaihq.com::8f0d30ca-1db8-436d-92b2-c0d43775233a" userProvider="AD" userName="Stephen Sene"/>
      </t:Event>
      <t:Event id="{B35111F4-B553-492B-AFC2-0C7754D97D9C}" time="2022-07-28T19:32:24.347Z">
        <t:Attribution userId="S::christopher.matechik@ssaihq.com::1edc8a7f-9bbf-4231-8a83-8ec894a2690b" userProvider="AD" userName="Christopher Matechik"/>
        <t:Anchor>
          <t:Comment id="484006886"/>
        </t:Anchor>
        <t:SetTitle title="@Stephen Sene in the elgend, change risk to risk rank or rank and then overwrite the file. Then replace it in the tech apper."/>
      </t:Event>
    </t:History>
  </t:Task>
  <t:Task id="{CDBAA9F7-E79B-4F0D-B136-D579FEFDBC66}">
    <t:Anchor>
      <t:Comment id="1324000980"/>
    </t:Anchor>
    <t:History>
      <t:Event id="{CA13C99D-2AD9-4895-878F-9DD9CC29516A}" time="2022-07-28T19:48:16.706Z">
        <t:Attribution userId="S::christopher.matechik@ssaihq.com::1edc8a7f-9bbf-4231-8a83-8ec894a2690b" userProvider="AD" userName="Christopher Matechik"/>
        <t:Anchor>
          <t:Comment id="1324000980"/>
        </t:Anchor>
        <t:Create/>
      </t:Event>
      <t:Event id="{B8BC8416-0459-43DD-BF52-6FF5B54C96FF}" time="2022-07-28T19:48:16.706Z">
        <t:Attribution userId="S::christopher.matechik@ssaihq.com::1edc8a7f-9bbf-4231-8a83-8ec894a2690b" userProvider="AD" userName="Christopher Matechik"/>
        <t:Anchor>
          <t:Comment id="1324000980"/>
        </t:Anchor>
        <t:Assign userId="S::stephen.sene@ssaihq.com::8f0d30ca-1db8-436d-92b2-c0d43775233a" userProvider="AD" userName="Stephen Sene"/>
      </t:Event>
      <t:Event id="{6FBC44B4-DAAF-4480-89FC-396B9956A028}" time="2022-07-28T19:48:16.706Z">
        <t:Attribution userId="S::christopher.matechik@ssaihq.com::1edc8a7f-9bbf-4231-8a83-8ec894a2690b" userProvider="AD" userName="Christopher Matechik"/>
        <t:Anchor>
          <t:Comment id="1324000980"/>
        </t:Anchor>
        <t:SetTitle title="@Stephen Sene we will need to adjust this so the symbology is uniformly applied across all layers. It looks like it is stretching only within season, which makes cross season comparisons misleading. If needed, we can replace with point data (Messy and …"/>
      </t:Event>
    </t:History>
  </t:Task>
  <t:Task id="{DE782F57-D043-4D98-AB5B-7312B8843EC8}">
    <t:Anchor>
      <t:Comment id="173370795"/>
    </t:Anchor>
    <t:History>
      <t:Event id="{B706738A-FDF6-4E13-B819-2D62FE65E1D6}" time="2022-07-28T19:55:34.786Z">
        <t:Attribution userId="S::christopher.matechik@ssaihq.com::1edc8a7f-9bbf-4231-8a83-8ec894a2690b" userProvider="AD" userName="Christopher Matechik"/>
        <t:Anchor>
          <t:Comment id="173370795"/>
        </t:Anchor>
        <t:Create/>
      </t:Event>
      <t:Event id="{DDF9BE37-B8A1-403F-8B26-5469D4A0958D}" time="2022-07-28T19:55:34.786Z">
        <t:Attribution userId="S::christopher.matechik@ssaihq.com::1edc8a7f-9bbf-4231-8a83-8ec894a2690b" userProvider="AD" userName="Christopher Matechik"/>
        <t:Anchor>
          <t:Comment id="173370795"/>
        </t:Anchor>
        <t:Assign userId="S::stephen.sene@ssaihq.com::8f0d30ca-1db8-436d-92b2-c0d43775233a" userProvider="AD" userName="Stephen Sene"/>
      </t:Event>
      <t:Event id="{1D8185F8-29B7-4E0C-820E-60446155CA7F}" time="2022-07-28T19:55:34.786Z">
        <t:Attribution userId="S::christopher.matechik@ssaihq.com::1edc8a7f-9bbf-4231-8a83-8ec894a2690b" userProvider="AD" userName="Christopher Matechik"/>
        <t:Anchor>
          <t:Comment id="173370795"/>
        </t:Anchor>
        <t:SetTitle title="@Stephen Sene for some reason the map is too alrge to add to this document. One of us can help you re-export on Monday."/>
      </t:Event>
    </t:History>
  </t:Task>
  <t:Task id="{6E9FC3A1-438F-4E0B-8208-BDDBE2475283}">
    <t:Anchor>
      <t:Comment id="2060373117"/>
    </t:Anchor>
    <t:History>
      <t:Event id="{3213446F-F7DB-43C7-AAC9-ED0A1F1393EC}" time="2022-08-09T22:06:34.181Z">
        <t:Attribution userId="S::christopher.matechik@ssaihq.com::1edc8a7f-9bbf-4231-8a83-8ec894a2690b" userProvider="AD" userName="Christopher Matechik"/>
        <t:Anchor>
          <t:Comment id="2060373117"/>
        </t:Anchor>
        <t:Create/>
      </t:Event>
      <t:Event id="{2C103EBB-84E6-4C6B-BFA3-8DA96265D7C5}" time="2022-08-09T22:06:34.181Z">
        <t:Attribution userId="S::christopher.matechik@ssaihq.com::1edc8a7f-9bbf-4231-8a83-8ec894a2690b" userProvider="AD" userName="Christopher Matechik"/>
        <t:Anchor>
          <t:Comment id="2060373117"/>
        </t:Anchor>
        <t:Assign userId="S::stephen.sene@ssaihq.com::8f0d30ca-1db8-436d-92b2-c0d43775233a" userProvider="AD" userName="Stephen Sene"/>
      </t:Event>
      <t:Event id="{BA9D6C9A-422E-42BF-B263-4E6AF9DDC712}" time="2022-08-09T22:06:34.181Z">
        <t:Attribution userId="S::christopher.matechik@ssaihq.com::1edc8a7f-9bbf-4231-8a83-8ec894a2690b" userProvider="AD" userName="Christopher Matechik"/>
        <t:Anchor>
          <t:Comment id="2060373117"/>
        </t:Anchor>
        <t:SetTitle title="Need to change &quot;Strike Count&quot; to something else. That was my fault. @Stephen Sene , I can't remember if I did this in your gdb or mine. We can check tomorrow."/>
      </t:Event>
    </t:History>
  </t:Task>
  <t:Task id="{DF055C62-96BB-42A7-9397-7B1369F9D27C}">
    <t:Anchor>
      <t:Comment id="1928868034"/>
    </t:Anchor>
    <t:History>
      <t:Event id="{BD2571CB-4DDF-4757-A7BA-6D4E662B07EE}" time="2022-08-11T13:02:16.338Z">
        <t:Attribution userId="S::christopher.matechik@ssaihq.com::1edc8a7f-9bbf-4231-8a83-8ec894a2690b" userProvider="AD" userName="Christopher Matechik"/>
        <t:Anchor>
          <t:Comment id="1928868034"/>
        </t:Anchor>
        <t:Create/>
      </t:Event>
      <t:Event id="{2DF4FACC-9551-49DB-8C76-1EB9C0F688C2}" time="2022-08-11T13:02:16.338Z">
        <t:Attribution userId="S::christopher.matechik@ssaihq.com::1edc8a7f-9bbf-4231-8a83-8ec894a2690b" userProvider="AD" userName="Christopher Matechik"/>
        <t:Anchor>
          <t:Comment id="1928868034"/>
        </t:Anchor>
        <t:Assign userId="S::rueben.alter@ssaihq.com::5844a5e0-a0ce-40ca-b8f2-12aade60cd0f" userProvider="AD" userName="Reuben Alter"/>
      </t:Event>
      <t:Event id="{C9B3CD9A-3EB5-47E9-9ACD-6F9B9423592A}" time="2022-08-11T13:02:16.338Z">
        <t:Attribution userId="S::christopher.matechik@ssaihq.com::1edc8a7f-9bbf-4231-8a83-8ec894a2690b" userProvider="AD" userName="Christopher Matechik"/>
        <t:Anchor>
          <t:Comment id="1928868034"/>
        </t:Anchor>
        <t:SetTitle title="using a git script, or terminal script or whatever you used. @Reuben Alter"/>
      </t:Event>
      <t:Event id="{B6E6EE00-F199-41CC-88C3-5AE95A969750}" time="2022-08-11T16:30:47.352Z">
        <t:Attribution userId="S::rueben.alter@ssaihq.com::5844a5e0-a0ce-40ca-b8f2-12aade60cd0f" userProvider="AD" userName="Reuben Alter"/>
        <t:Progress percentComplete="100"/>
      </t:Event>
    </t:History>
  </t:Task>
  <t:Task id="{1E3E1113-AE4F-4299-955E-9FC790438385}">
    <t:Anchor>
      <t:Comment id="1803512955"/>
    </t:Anchor>
    <t:History>
      <t:Event id="{A8F3DD6F-425F-49B7-BED7-39D9C101DEAA}" time="2022-08-11T13:39:28.525Z">
        <t:Attribution userId="S::christopher.matechik@ssaihq.com::1edc8a7f-9bbf-4231-8a83-8ec894a2690b" userProvider="AD" userName="Christopher Matechik"/>
        <t:Anchor>
          <t:Comment id="1803512955"/>
        </t:Anchor>
        <t:Create/>
      </t:Event>
      <t:Event id="{91449CE7-42A6-4D87-A8B0-F404362F796A}" time="2022-08-11T13:39:28.525Z">
        <t:Attribution userId="S::christopher.matechik@ssaihq.com::1edc8a7f-9bbf-4231-8a83-8ec894a2690b" userProvider="AD" userName="Christopher Matechik"/>
        <t:Anchor>
          <t:Comment id="1803512955"/>
        </t:Anchor>
        <t:Assign userId="S::rueben.alter@ssaihq.com::5844a5e0-a0ce-40ca-b8f2-12aade60cd0f" userProvider="AD" userName="Reuben Alter"/>
      </t:Event>
      <t:Event id="{746FFDF4-068D-4337-ADD8-1DEEB04065E2}" time="2022-08-11T13:39:28.525Z">
        <t:Attribution userId="S::christopher.matechik@ssaihq.com::1edc8a7f-9bbf-4231-8a83-8ec894a2690b" userProvider="AD" userName="Christopher Matechik"/>
        <t:Anchor>
          <t:Comment id="1803512955"/>
        </t:Anchor>
        <t:SetTitle title="Correaltion implies a statistical relationship which we did not test for. Repharse to coincedental. @Reuben Alter"/>
      </t:Event>
      <t:Event id="{6FA1C3CA-A678-4E8C-91F3-5024E329BA1F}" time="2022-08-11T15:49:42.071Z">
        <t:Attribution userId="S::rueben.alter@ssaihq.com::5844a5e0-a0ce-40ca-b8f2-12aade60cd0f" userProvider="AD" userName="Reuben Alter"/>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Barry McLaughlin</DisplayName>
        <AccountId>936</AccountId>
        <AccountType/>
      </UserInfo>
      <UserInfo>
        <DisplayName>Amanda Clayton</DisplayName>
        <AccountId>14</AccountId>
        <AccountType/>
      </UserInfo>
      <UserInfo>
        <DisplayName>Olivia Landry</DisplayName>
        <AccountId>257</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3.xml><?xml version="1.0" encoding="utf-8"?>
<ds:datastoreItem xmlns:ds="http://schemas.openxmlformats.org/officeDocument/2006/customXml" ds:itemID="{1D9C62E5-5A8B-4C10-98A1-69C1A0A402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4527</Words>
  <Characters>25810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2022-09-27T20:45:00Z</dcterms:created>
  <dcterms:modified xsi:type="dcterms:W3CDTF">2022-09-27T20:45:00Z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24000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