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32990" w14:textId="77777777" w:rsidR="0083004B" w:rsidRDefault="00E14A9E">
      <w:pPr>
        <w:tabs>
          <w:tab w:val="left" w:pos="7329"/>
        </w:tabs>
        <w:spacing w:after="0" w:line="240" w:lineRule="auto"/>
        <w:jc w:val="right"/>
        <w:rPr>
          <w:rFonts w:ascii="Garamond" w:eastAsia="Garamond" w:hAnsi="Garamond" w:cs="Garamond"/>
          <w:color w:val="000000"/>
          <w:sz w:val="40"/>
          <w:szCs w:val="40"/>
        </w:rPr>
      </w:pPr>
      <w:r>
        <w:rPr>
          <w:rFonts w:ascii="Garamond" w:eastAsia="Garamond" w:hAnsi="Garamond" w:cs="Garamond"/>
          <w:color w:val="000000"/>
          <w:sz w:val="40"/>
          <w:szCs w:val="40"/>
        </w:rPr>
        <w:t>Baltimore Energy and Infrastructure</w:t>
      </w:r>
    </w:p>
    <w:p w14:paraId="2DA32991" w14:textId="77777777" w:rsidR="0083004B" w:rsidRDefault="00E14A9E">
      <w:pPr>
        <w:spacing w:after="0" w:line="240" w:lineRule="auto"/>
        <w:jc w:val="right"/>
        <w:rPr>
          <w:rFonts w:ascii="Garamond" w:eastAsia="Garamond" w:hAnsi="Garamond" w:cs="Garamond"/>
          <w:color w:val="000000"/>
          <w:sz w:val="28"/>
          <w:szCs w:val="28"/>
        </w:rPr>
      </w:pPr>
      <w:r>
        <w:rPr>
          <w:rFonts w:ascii="Garamond" w:eastAsia="Garamond" w:hAnsi="Garamond" w:cs="Garamond"/>
          <w:color w:val="000000"/>
          <w:sz w:val="28"/>
          <w:szCs w:val="28"/>
        </w:rPr>
        <w:t>Assessing Urban Heat Vulnerability in Baltimore Neighborhoods to Inform Transportation Resiliency Planning Efforts</w:t>
      </w:r>
    </w:p>
    <w:p w14:paraId="2DA32992" w14:textId="77777777" w:rsidR="0083004B" w:rsidRDefault="0083004B">
      <w:pPr>
        <w:spacing w:after="0" w:line="240" w:lineRule="auto"/>
        <w:rPr>
          <w:rFonts w:ascii="Garamond" w:eastAsia="Garamond" w:hAnsi="Garamond" w:cs="Garamond"/>
          <w:color w:val="000000"/>
          <w:sz w:val="32"/>
          <w:szCs w:val="32"/>
        </w:rPr>
      </w:pPr>
    </w:p>
    <w:p w14:paraId="2DA32993" w14:textId="77777777" w:rsidR="0083004B" w:rsidRDefault="0083004B">
      <w:pPr>
        <w:spacing w:after="0" w:line="240" w:lineRule="auto"/>
        <w:rPr>
          <w:rFonts w:ascii="Garamond" w:eastAsia="Garamond" w:hAnsi="Garamond" w:cs="Garamond"/>
          <w:color w:val="000000"/>
          <w:sz w:val="32"/>
          <w:szCs w:val="32"/>
        </w:rPr>
      </w:pPr>
    </w:p>
    <w:p w14:paraId="2DA32994" w14:textId="77777777" w:rsidR="0083004B" w:rsidRDefault="0083004B">
      <w:pPr>
        <w:spacing w:after="0" w:line="240" w:lineRule="auto"/>
        <w:rPr>
          <w:rFonts w:ascii="Garamond" w:eastAsia="Garamond" w:hAnsi="Garamond" w:cs="Garamond"/>
          <w:color w:val="000000"/>
          <w:sz w:val="32"/>
          <w:szCs w:val="32"/>
        </w:rPr>
      </w:pPr>
    </w:p>
    <w:p w14:paraId="2DA32995" w14:textId="77777777" w:rsidR="0083004B" w:rsidRDefault="0083004B">
      <w:pPr>
        <w:spacing w:after="0" w:line="240" w:lineRule="auto"/>
        <w:rPr>
          <w:rFonts w:ascii="Garamond" w:eastAsia="Garamond" w:hAnsi="Garamond" w:cs="Garamond"/>
          <w:color w:val="000000"/>
          <w:sz w:val="32"/>
          <w:szCs w:val="32"/>
        </w:rPr>
      </w:pPr>
    </w:p>
    <w:p w14:paraId="2DA32996" w14:textId="77777777" w:rsidR="0083004B" w:rsidRDefault="0083004B">
      <w:pPr>
        <w:spacing w:after="0" w:line="240" w:lineRule="auto"/>
        <w:rPr>
          <w:rFonts w:ascii="Garamond" w:eastAsia="Garamond" w:hAnsi="Garamond" w:cs="Garamond"/>
          <w:color w:val="000000"/>
          <w:sz w:val="32"/>
          <w:szCs w:val="32"/>
        </w:rPr>
      </w:pPr>
    </w:p>
    <w:p w14:paraId="2DA32997" w14:textId="77777777" w:rsidR="0083004B" w:rsidRDefault="00E14A9E">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2DA32BD0" wp14:editId="2DA32BD1">
            <wp:simplePos x="0" y="0"/>
            <wp:positionH relativeFrom="column">
              <wp:posOffset>1628140</wp:posOffset>
            </wp:positionH>
            <wp:positionV relativeFrom="paragraph">
              <wp:posOffset>56514</wp:posOffset>
            </wp:positionV>
            <wp:extent cx="969010" cy="182880"/>
            <wp:effectExtent l="0" t="0" r="0" b="0"/>
            <wp:wrapNone/>
            <wp:docPr id="1934500994" name="Picture 1934500994"/>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969010" cy="182880"/>
                    </a:xfrm>
                    <a:prstGeom prst="rect">
                      <a:avLst/>
                    </a:prstGeom>
                    <a:ln/>
                  </pic:spPr>
                </pic:pic>
              </a:graphicData>
            </a:graphic>
          </wp:anchor>
        </w:drawing>
      </w:r>
    </w:p>
    <w:p w14:paraId="2DA32998" w14:textId="77777777" w:rsidR="0083004B" w:rsidRDefault="00E14A9E">
      <w:pPr>
        <w:spacing w:after="0" w:line="240" w:lineRule="auto"/>
        <w:jc w:val="center"/>
        <w:rPr>
          <w:rFonts w:ascii="Garamond" w:eastAsia="Garamond" w:hAnsi="Garamond" w:cs="Garamond"/>
          <w:color w:val="000000"/>
          <w:sz w:val="28"/>
          <w:szCs w:val="28"/>
        </w:rPr>
      </w:pPr>
      <w:r>
        <w:rPr>
          <w:rFonts w:ascii="Garamond" w:eastAsia="Garamond" w:hAnsi="Garamond" w:cs="Garamond"/>
          <w:color w:val="000000"/>
          <w:sz w:val="28"/>
          <w:szCs w:val="28"/>
        </w:rPr>
        <w:t>March 29</w:t>
      </w:r>
      <w:r>
        <w:rPr>
          <w:rFonts w:ascii="Garamond" w:eastAsia="Garamond" w:hAnsi="Garamond" w:cs="Garamond"/>
          <w:color w:val="000000"/>
          <w:sz w:val="28"/>
          <w:szCs w:val="28"/>
          <w:vertAlign w:val="superscript"/>
        </w:rPr>
        <w:t>th</w:t>
      </w:r>
      <w:r>
        <w:rPr>
          <w:rFonts w:ascii="Garamond" w:eastAsia="Garamond" w:hAnsi="Garamond" w:cs="Garamond"/>
          <w:color w:val="000000"/>
          <w:sz w:val="28"/>
          <w:szCs w:val="28"/>
        </w:rPr>
        <w:t>, 2024</w:t>
      </w:r>
    </w:p>
    <w:p w14:paraId="2DA32999" w14:textId="77777777" w:rsidR="0083004B" w:rsidRDefault="0083004B">
      <w:pPr>
        <w:spacing w:after="0" w:line="240" w:lineRule="auto"/>
        <w:jc w:val="center"/>
        <w:rPr>
          <w:rFonts w:ascii="Garamond" w:eastAsia="Garamond" w:hAnsi="Garamond" w:cs="Garamond"/>
          <w:color w:val="000000"/>
          <w:sz w:val="20"/>
          <w:szCs w:val="20"/>
        </w:rPr>
      </w:pPr>
    </w:p>
    <w:p w14:paraId="2DA3299A" w14:textId="77777777" w:rsidR="0083004B" w:rsidRDefault="00E14A9E">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Maya Clark (Project Lead)</w:t>
      </w:r>
    </w:p>
    <w:p w14:paraId="2DA3299B" w14:textId="77777777" w:rsidR="0083004B" w:rsidRDefault="00E14A9E">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Karla Monroy</w:t>
      </w:r>
    </w:p>
    <w:p w14:paraId="2DA3299C" w14:textId="77777777" w:rsidR="0083004B" w:rsidRDefault="00E14A9E">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Lena </w:t>
      </w:r>
      <w:proofErr w:type="spellStart"/>
      <w:r>
        <w:rPr>
          <w:rFonts w:ascii="Garamond" w:eastAsia="Garamond" w:hAnsi="Garamond" w:cs="Garamond"/>
          <w:color w:val="000000"/>
          <w:sz w:val="20"/>
          <w:szCs w:val="20"/>
        </w:rPr>
        <w:t>Kufferman</w:t>
      </w:r>
      <w:proofErr w:type="spellEnd"/>
    </w:p>
    <w:p w14:paraId="2DA3299D" w14:textId="77777777" w:rsidR="0083004B" w:rsidRDefault="00E14A9E">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Brian Arruda</w:t>
      </w:r>
    </w:p>
    <w:p w14:paraId="2DA3299E" w14:textId="77777777" w:rsidR="0083004B" w:rsidRDefault="0083004B">
      <w:pPr>
        <w:spacing w:after="0" w:line="240" w:lineRule="auto"/>
        <w:jc w:val="center"/>
        <w:rPr>
          <w:rFonts w:ascii="Garamond" w:eastAsia="Garamond" w:hAnsi="Garamond" w:cs="Garamond"/>
          <w:color w:val="000000"/>
          <w:sz w:val="20"/>
          <w:szCs w:val="20"/>
        </w:rPr>
      </w:pPr>
    </w:p>
    <w:p w14:paraId="2DA3299F" w14:textId="77777777" w:rsidR="0083004B" w:rsidRDefault="00E14A9E">
      <w:pPr>
        <w:spacing w:after="0" w:line="240" w:lineRule="auto"/>
        <w:jc w:val="center"/>
        <w:rPr>
          <w:rFonts w:ascii="Garamond" w:eastAsia="Garamond" w:hAnsi="Garamond" w:cs="Garamond"/>
          <w:color w:val="000000"/>
          <w:sz w:val="20"/>
          <w:szCs w:val="20"/>
        </w:rPr>
      </w:pPr>
      <w:r>
        <w:rPr>
          <w:rFonts w:ascii="Garamond" w:eastAsia="Garamond" w:hAnsi="Garamond" w:cs="Garamond"/>
          <w:b/>
          <w:i/>
          <w:color w:val="000000"/>
          <w:sz w:val="20"/>
          <w:szCs w:val="20"/>
        </w:rPr>
        <w:t>Advisor:</w:t>
      </w:r>
    </w:p>
    <w:p w14:paraId="2DA329A0" w14:textId="77777777" w:rsidR="0083004B" w:rsidRDefault="00E14A9E">
      <w:pPr>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Sean McCartney, </w:t>
      </w:r>
      <w:r>
        <w:rPr>
          <w:rFonts w:ascii="Garamond" w:eastAsia="Garamond" w:hAnsi="Garamond" w:cs="Garamond"/>
          <w:color w:val="000000"/>
          <w:sz w:val="19"/>
          <w:szCs w:val="19"/>
        </w:rPr>
        <w:t>NASA Goddard Space Flight Center,</w:t>
      </w:r>
      <w:r>
        <w:rPr>
          <w:rFonts w:ascii="Garamond" w:eastAsia="Garamond" w:hAnsi="Garamond" w:cs="Garamond"/>
          <w:color w:val="000000"/>
          <w:sz w:val="20"/>
          <w:szCs w:val="20"/>
        </w:rPr>
        <w:t xml:space="preserve"> Space Systems &amp; Applications Inc. (Science Advisor)</w:t>
      </w:r>
    </w:p>
    <w:p w14:paraId="2DA329A1" w14:textId="77777777" w:rsidR="0083004B" w:rsidRDefault="0083004B">
      <w:pPr>
        <w:spacing w:after="0" w:line="240" w:lineRule="auto"/>
        <w:jc w:val="center"/>
        <w:rPr>
          <w:rFonts w:ascii="Garamond" w:eastAsia="Garamond" w:hAnsi="Garamond" w:cs="Garamond"/>
          <w:color w:val="000000"/>
          <w:sz w:val="20"/>
          <w:szCs w:val="20"/>
        </w:rPr>
      </w:pPr>
    </w:p>
    <w:p w14:paraId="2DA329A2" w14:textId="77777777" w:rsidR="0083004B" w:rsidRDefault="00E14A9E">
      <w:pPr>
        <w:spacing w:after="0" w:line="240" w:lineRule="auto"/>
        <w:jc w:val="center"/>
        <w:rPr>
          <w:rFonts w:ascii="Garamond" w:eastAsia="Garamond" w:hAnsi="Garamond" w:cs="Garamond"/>
          <w:color w:val="000000"/>
          <w:sz w:val="19"/>
          <w:szCs w:val="19"/>
        </w:rPr>
      </w:pPr>
      <w:r>
        <w:rPr>
          <w:rFonts w:ascii="Garamond" w:eastAsia="Garamond" w:hAnsi="Garamond" w:cs="Garamond"/>
          <w:b/>
          <w:i/>
          <w:color w:val="000000"/>
          <w:sz w:val="20"/>
          <w:szCs w:val="20"/>
        </w:rPr>
        <w:t>Lead:</w:t>
      </w:r>
      <w:r>
        <w:br/>
      </w:r>
      <w:r>
        <w:rPr>
          <w:rFonts w:ascii="Garamond" w:eastAsia="Garamond" w:hAnsi="Garamond" w:cs="Garamond"/>
          <w:color w:val="000000"/>
          <w:sz w:val="20"/>
          <w:szCs w:val="20"/>
        </w:rPr>
        <w:t>Stephanie Willsey (Maryland – Goddard)</w:t>
      </w:r>
      <w:r>
        <w:rPr>
          <w:rFonts w:ascii="Garamond" w:eastAsia="Garamond" w:hAnsi="Garamond" w:cs="Garamond"/>
          <w:color w:val="000000"/>
          <w:sz w:val="19"/>
          <w:szCs w:val="19"/>
        </w:rPr>
        <w:t xml:space="preserve"> </w:t>
      </w:r>
    </w:p>
    <w:p w14:paraId="2DA329A3" w14:textId="77777777" w:rsidR="0083004B" w:rsidRDefault="0083004B">
      <w:pPr>
        <w:spacing w:after="0" w:line="240" w:lineRule="auto"/>
        <w:jc w:val="center"/>
        <w:rPr>
          <w:rFonts w:ascii="Garamond" w:eastAsia="Garamond" w:hAnsi="Garamond" w:cs="Garamond"/>
          <w:color w:val="000000"/>
          <w:sz w:val="20"/>
          <w:szCs w:val="20"/>
        </w:rPr>
      </w:pPr>
    </w:p>
    <w:p w14:paraId="2DA329A4" w14:textId="77777777" w:rsidR="0083004B" w:rsidRDefault="0083004B">
      <w:pPr>
        <w:spacing w:after="0" w:line="240" w:lineRule="auto"/>
        <w:jc w:val="center"/>
        <w:rPr>
          <w:rFonts w:ascii="Garamond" w:eastAsia="Garamond" w:hAnsi="Garamond" w:cs="Garamond"/>
          <w:color w:val="000000"/>
          <w:sz w:val="20"/>
          <w:szCs w:val="20"/>
        </w:rPr>
      </w:pPr>
    </w:p>
    <w:p w14:paraId="2DA329A5" w14:textId="77777777" w:rsidR="0083004B" w:rsidRDefault="0083004B">
      <w:pPr>
        <w:spacing w:after="0" w:line="240" w:lineRule="auto"/>
        <w:jc w:val="center"/>
        <w:rPr>
          <w:rFonts w:ascii="Garamond" w:eastAsia="Garamond" w:hAnsi="Garamond" w:cs="Garamond"/>
          <w:color w:val="000000"/>
          <w:sz w:val="20"/>
          <w:szCs w:val="20"/>
        </w:rPr>
      </w:pPr>
    </w:p>
    <w:p w14:paraId="2DA329A6" w14:textId="77777777" w:rsidR="0083004B" w:rsidRDefault="0083004B">
      <w:pPr>
        <w:spacing w:after="0" w:line="240" w:lineRule="auto"/>
        <w:jc w:val="center"/>
        <w:rPr>
          <w:rFonts w:ascii="Garamond" w:eastAsia="Garamond" w:hAnsi="Garamond" w:cs="Garamond"/>
          <w:color w:val="000000"/>
          <w:sz w:val="20"/>
          <w:szCs w:val="20"/>
        </w:rPr>
      </w:pPr>
    </w:p>
    <w:p w14:paraId="2DA329A7" w14:textId="77777777" w:rsidR="0083004B" w:rsidRDefault="0083004B">
      <w:pPr>
        <w:spacing w:after="0" w:line="240" w:lineRule="auto"/>
        <w:jc w:val="center"/>
        <w:rPr>
          <w:rFonts w:ascii="Garamond" w:eastAsia="Garamond" w:hAnsi="Garamond" w:cs="Garamond"/>
          <w:color w:val="000000"/>
          <w:sz w:val="20"/>
          <w:szCs w:val="20"/>
        </w:rPr>
      </w:pPr>
    </w:p>
    <w:p w14:paraId="2DA329A8" w14:textId="77777777" w:rsidR="0083004B" w:rsidRDefault="0083004B">
      <w:pPr>
        <w:rPr>
          <w:rFonts w:ascii="Garamond" w:eastAsia="Garamond" w:hAnsi="Garamond" w:cs="Garamond"/>
          <w:color w:val="000000"/>
          <w:sz w:val="20"/>
          <w:szCs w:val="20"/>
        </w:rPr>
      </w:pPr>
    </w:p>
    <w:p w14:paraId="2DA329A9" w14:textId="77777777" w:rsidR="0083004B" w:rsidRDefault="0083004B">
      <w:pPr>
        <w:rPr>
          <w:rFonts w:ascii="Garamond" w:eastAsia="Garamond" w:hAnsi="Garamond" w:cs="Garamond"/>
          <w:color w:val="000000"/>
          <w:sz w:val="20"/>
          <w:szCs w:val="20"/>
        </w:rPr>
      </w:pPr>
    </w:p>
    <w:p w14:paraId="2DA329AA" w14:textId="77777777" w:rsidR="0083004B" w:rsidRDefault="0083004B">
      <w:pPr>
        <w:rPr>
          <w:rFonts w:ascii="Garamond" w:eastAsia="Garamond" w:hAnsi="Garamond" w:cs="Garamond"/>
          <w:color w:val="000000"/>
          <w:sz w:val="20"/>
          <w:szCs w:val="20"/>
        </w:rPr>
      </w:pPr>
    </w:p>
    <w:p w14:paraId="2DA329AB" w14:textId="77777777" w:rsidR="0083004B" w:rsidRDefault="0083004B">
      <w:pPr>
        <w:rPr>
          <w:rFonts w:ascii="Garamond" w:eastAsia="Garamond" w:hAnsi="Garamond" w:cs="Garamond"/>
          <w:color w:val="000000"/>
          <w:sz w:val="20"/>
          <w:szCs w:val="20"/>
        </w:rPr>
      </w:pPr>
    </w:p>
    <w:p w14:paraId="2DA329AC" w14:textId="77777777" w:rsidR="0083004B" w:rsidRDefault="0083004B">
      <w:pPr>
        <w:rPr>
          <w:rFonts w:ascii="Garamond" w:eastAsia="Garamond" w:hAnsi="Garamond" w:cs="Garamond"/>
          <w:color w:val="000000"/>
          <w:sz w:val="20"/>
          <w:szCs w:val="20"/>
        </w:rPr>
      </w:pPr>
    </w:p>
    <w:p w14:paraId="2DA329AD" w14:textId="77777777" w:rsidR="0083004B" w:rsidRDefault="0083004B">
      <w:pPr>
        <w:rPr>
          <w:rFonts w:ascii="Garamond" w:eastAsia="Garamond" w:hAnsi="Garamond" w:cs="Garamond"/>
          <w:color w:val="000000"/>
          <w:sz w:val="20"/>
          <w:szCs w:val="20"/>
        </w:rPr>
      </w:pPr>
    </w:p>
    <w:p w14:paraId="2DA329AE" w14:textId="77777777" w:rsidR="0083004B" w:rsidRDefault="0083004B">
      <w:pPr>
        <w:rPr>
          <w:rFonts w:ascii="Garamond" w:eastAsia="Garamond" w:hAnsi="Garamond" w:cs="Garamond"/>
          <w:color w:val="000000"/>
          <w:sz w:val="20"/>
          <w:szCs w:val="20"/>
        </w:rPr>
      </w:pPr>
    </w:p>
    <w:p w14:paraId="2DA329AF" w14:textId="77777777" w:rsidR="0083004B" w:rsidRDefault="0083004B"/>
    <w:p w14:paraId="2DA329B0" w14:textId="77777777" w:rsidR="0083004B" w:rsidRDefault="0083004B"/>
    <w:p w14:paraId="2DA329B1" w14:textId="77777777" w:rsidR="0083004B" w:rsidRDefault="00E14A9E">
      <w:pPr>
        <w:pStyle w:val="Heading1"/>
        <w:spacing w:before="0" w:line="240" w:lineRule="auto"/>
        <w:rPr>
          <w:rFonts w:ascii="Garamond" w:eastAsia="Garamond" w:hAnsi="Garamond" w:cs="Garamond"/>
          <w:b/>
          <w:color w:val="365F91"/>
          <w:sz w:val="28"/>
          <w:szCs w:val="28"/>
        </w:rPr>
      </w:pPr>
      <w:r>
        <w:rPr>
          <w:rFonts w:ascii="Garamond" w:eastAsia="Garamond" w:hAnsi="Garamond" w:cs="Garamond"/>
          <w:b/>
          <w:color w:val="365F91"/>
          <w:sz w:val="28"/>
          <w:szCs w:val="28"/>
        </w:rPr>
        <w:lastRenderedPageBreak/>
        <w:t xml:space="preserve">1. Abstract </w:t>
      </w:r>
    </w:p>
    <w:p w14:paraId="2DA329B2" w14:textId="77777777" w:rsidR="0083004B" w:rsidRDefault="00E14A9E">
      <w:pPr>
        <w:spacing w:after="0" w:line="240" w:lineRule="auto"/>
        <w:rPr>
          <w:rFonts w:ascii="Garamond" w:eastAsia="Garamond" w:hAnsi="Garamond" w:cs="Garamond"/>
        </w:rPr>
      </w:pPr>
      <w:r>
        <w:rPr>
          <w:rFonts w:ascii="Garamond" w:eastAsia="Garamond" w:hAnsi="Garamond" w:cs="Garamond"/>
          <w:color w:val="000000"/>
        </w:rPr>
        <w:t xml:space="preserve">Across the world, climate change is altering cities and their local climate systems. Following global trends of rising mean temperatures, Baltimore, Maryland is projected to experience more frequent extreme heat events. Exacerbated by Urban Heat Island (UHI) effects, residents of the city face high temperatures from limited tree canopy, highly paved and impervious surfaces, limited air flow, and high concentrations of localized emissions. Urban heat is dispersed asymmetrically, with historically marginalized populations experiencing disproportionately severe heat. Recognizing the impacts of extreme urban heat, the Maryland Transit Administration (MTA) collaborated with us, the Spring 2024 Goddard Energy and Infrastructure NASA DEVELOP team to assess urban impacts of MTA users and assets and explore opportunities to enhance resiliency planning. We evaluated the feasibility of NASA Earth observations (EOs) in visualizing heat vulnerability in Baltimore City and County. We mapped UHI and extreme heat using remote sensing observations, tailored a Heat Priority Score (HPS) to analyze heat data in tandem with socioeconomic data from American Community Survey (ACS), and utilized </w:t>
      </w:r>
      <w:proofErr w:type="spellStart"/>
      <w:r>
        <w:rPr>
          <w:rFonts w:ascii="Garamond" w:eastAsia="Garamond" w:hAnsi="Garamond" w:cs="Garamond"/>
          <w:color w:val="000000"/>
        </w:rPr>
        <w:t>SOlar</w:t>
      </w:r>
      <w:proofErr w:type="spellEnd"/>
      <w:r>
        <w:rPr>
          <w:rFonts w:ascii="Garamond" w:eastAsia="Garamond" w:hAnsi="Garamond" w:cs="Garamond"/>
          <w:color w:val="000000"/>
        </w:rPr>
        <w:t xml:space="preserve"> and </w:t>
      </w:r>
      <w:proofErr w:type="spellStart"/>
      <w:r>
        <w:rPr>
          <w:rFonts w:ascii="Garamond" w:eastAsia="Garamond" w:hAnsi="Garamond" w:cs="Garamond"/>
          <w:color w:val="000000"/>
        </w:rPr>
        <w:t>LongWave</w:t>
      </w:r>
      <w:proofErr w:type="spellEnd"/>
      <w:r>
        <w:rPr>
          <w:rFonts w:ascii="Garamond" w:eastAsia="Garamond" w:hAnsi="Garamond" w:cs="Garamond"/>
          <w:color w:val="000000"/>
        </w:rPr>
        <w:t xml:space="preserve"> Environmental Irradiance Geometry </w:t>
      </w:r>
      <w:r>
        <w:rPr>
          <w:color w:val="000000"/>
        </w:rPr>
        <w:t>(</w:t>
      </w:r>
      <w:r>
        <w:rPr>
          <w:rFonts w:ascii="Garamond" w:eastAsia="Garamond" w:hAnsi="Garamond" w:cs="Garamond"/>
          <w:color w:val="000000"/>
        </w:rPr>
        <w:t xml:space="preserve">SOLWEIG) model to estimate MTA riders’ thermal comfort. NASA EOs served to quantify the distribution and severity of extreme heat at the block group level, which was found to correlate with a lack of vegetation and presence of densely built-up surroundings. The HPS revealed that extreme heat events most negatively impact communities that exhibit social vulnerability through indicators such as age, race, and income. These findings will inform neighborhood resiliency plans for the MTA that can be incorporated into their Adaptation Resiliency Toolbox (ART). </w:t>
      </w:r>
    </w:p>
    <w:p w14:paraId="2DA329B3" w14:textId="77777777" w:rsidR="0083004B" w:rsidRDefault="0083004B">
      <w:pPr>
        <w:spacing w:after="0" w:line="240" w:lineRule="auto"/>
        <w:rPr>
          <w:rFonts w:ascii="Garamond" w:eastAsia="Garamond" w:hAnsi="Garamond" w:cs="Garamond"/>
          <w:color w:val="000000"/>
        </w:rPr>
      </w:pPr>
    </w:p>
    <w:p w14:paraId="2DA329B4"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i/>
          <w:color w:val="000000"/>
        </w:rPr>
        <w:t>Key Terms</w:t>
      </w:r>
    </w:p>
    <w:p w14:paraId="2DA329B5"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Baltimore, Human Vulnerability Index, Maryland Transit Administration, PCA, SOLWEIG, Urban Heat Island Effect, UHEAT </w:t>
      </w:r>
    </w:p>
    <w:p w14:paraId="2DA329B6" w14:textId="77777777" w:rsidR="0083004B" w:rsidRDefault="0083004B">
      <w:pPr>
        <w:spacing w:after="0" w:line="240" w:lineRule="auto"/>
        <w:rPr>
          <w:rFonts w:ascii="Garamond" w:eastAsia="Garamond" w:hAnsi="Garamond" w:cs="Garamond"/>
          <w:color w:val="000000"/>
        </w:rPr>
      </w:pPr>
    </w:p>
    <w:p w14:paraId="2DA329B7" w14:textId="77777777" w:rsidR="0083004B" w:rsidRDefault="00E14A9E">
      <w:pPr>
        <w:pStyle w:val="Heading1"/>
        <w:spacing w:before="0" w:line="240" w:lineRule="auto"/>
        <w:rPr>
          <w:rFonts w:ascii="Garamond" w:eastAsia="Garamond" w:hAnsi="Garamond" w:cs="Garamond"/>
          <w:b/>
          <w:color w:val="365F91"/>
          <w:sz w:val="28"/>
          <w:szCs w:val="28"/>
        </w:rPr>
      </w:pPr>
      <w:r>
        <w:rPr>
          <w:rFonts w:ascii="Garamond" w:eastAsia="Garamond" w:hAnsi="Garamond" w:cs="Garamond"/>
          <w:b/>
          <w:color w:val="365F91"/>
          <w:sz w:val="28"/>
          <w:szCs w:val="28"/>
        </w:rPr>
        <w:t>2. Introduction</w:t>
      </w:r>
    </w:p>
    <w:p w14:paraId="2DA329B8" w14:textId="77777777" w:rsidR="0083004B" w:rsidRDefault="00E14A9E">
      <w:pPr>
        <w:spacing w:after="0" w:line="240" w:lineRule="auto"/>
        <w:rPr>
          <w:rFonts w:ascii="Garamond" w:eastAsia="Garamond" w:hAnsi="Garamond" w:cs="Garamond"/>
          <w:color w:val="202124"/>
        </w:rPr>
      </w:pPr>
      <w:r>
        <w:rPr>
          <w:rFonts w:ascii="Garamond" w:eastAsia="Garamond" w:hAnsi="Garamond" w:cs="Garamond"/>
          <w:b/>
          <w:i/>
          <w:color w:val="202124"/>
        </w:rPr>
        <w:t>2.1 Background Information</w:t>
      </w:r>
    </w:p>
    <w:p w14:paraId="2DA329B9" w14:textId="77777777" w:rsidR="0083004B" w:rsidRDefault="00E14A9E">
      <w:pPr>
        <w:spacing w:after="0" w:line="240" w:lineRule="auto"/>
        <w:rPr>
          <w:rFonts w:ascii="Garamond" w:eastAsia="Garamond" w:hAnsi="Garamond" w:cs="Garamond"/>
        </w:rPr>
      </w:pPr>
      <w:r>
        <w:rPr>
          <w:rFonts w:ascii="Garamond" w:eastAsia="Garamond" w:hAnsi="Garamond" w:cs="Garamond"/>
        </w:rPr>
        <w:t xml:space="preserve">Urban heat is a modern challenge impacting both urban livability and sustainability (Nazarian et al., 2022). Amidst global warming and climate change, the frequency and intensity of extreme heat events and compound urban heat island (UHI) effects are set to increase (Intergovernmental Panel on Climate Change [IPCC], 2023). Extreme heat is a leading cause of weather-related human mortality throughout much of the world and the United States, where more Americans are dying from heat related events than all other natural disasters combined (Song et al., 2021; </w:t>
      </w:r>
      <w:r>
        <w:rPr>
          <w:rFonts w:ascii="Garamond" w:eastAsia="Garamond" w:hAnsi="Garamond" w:cs="Garamond"/>
          <w:color w:val="000000"/>
        </w:rPr>
        <w:t>U.S. Centers for Disease Control and Prevention</w:t>
      </w:r>
      <w:r>
        <w:rPr>
          <w:rFonts w:ascii="Garamond" w:eastAsia="Garamond" w:hAnsi="Garamond" w:cs="Garamond"/>
        </w:rPr>
        <w:t xml:space="preserve"> [CDC], 2020). These deaths are concentrated in urban areas and thus further urbanization and rapid development may amplify this trend (Harlan et al., 2013). Understanding how heat affects cities, particularly their transportation networks, at a granular scale, explores a gap between studies of susceptibility to heat and broadly comparative studies of temperature-vulnerability relationships in metropolitan areas (Harlan et al., 2013). Recent literature has found correlations between historically marginalized communities and disproportionate heat exposure, often with urban development patterns shaping and influencing human vulnerability (</w:t>
      </w:r>
      <w:proofErr w:type="spellStart"/>
      <w:r>
        <w:rPr>
          <w:rFonts w:ascii="Garamond" w:eastAsia="Garamond" w:hAnsi="Garamond" w:cs="Garamond"/>
        </w:rPr>
        <w:t>Manware</w:t>
      </w:r>
      <w:proofErr w:type="spellEnd"/>
      <w:r>
        <w:rPr>
          <w:rFonts w:ascii="Garamond" w:eastAsia="Garamond" w:hAnsi="Garamond" w:cs="Garamond"/>
        </w:rPr>
        <w:t xml:space="preserve"> et al., 2022; Iqbal et al., 2022; Harlan et al., 2006, 2013).</w:t>
      </w:r>
    </w:p>
    <w:p w14:paraId="2DA329BA" w14:textId="77777777" w:rsidR="0083004B" w:rsidRDefault="0083004B">
      <w:pPr>
        <w:spacing w:after="0" w:line="240" w:lineRule="auto"/>
        <w:rPr>
          <w:rFonts w:ascii="Garamond" w:eastAsia="Garamond" w:hAnsi="Garamond" w:cs="Garamond"/>
        </w:rPr>
      </w:pPr>
    </w:p>
    <w:p w14:paraId="2DA329BB" w14:textId="77777777" w:rsidR="0083004B" w:rsidRDefault="00E14A9E">
      <w:pPr>
        <w:spacing w:after="0" w:line="240" w:lineRule="auto"/>
        <w:rPr>
          <w:rFonts w:ascii="Garamond" w:eastAsia="Garamond" w:hAnsi="Garamond" w:cs="Garamond"/>
          <w:b/>
          <w:i/>
          <w:color w:val="000000"/>
        </w:rPr>
      </w:pPr>
      <w:r>
        <w:rPr>
          <w:rFonts w:ascii="Garamond" w:eastAsia="Garamond" w:hAnsi="Garamond" w:cs="Garamond"/>
          <w:b/>
          <w:i/>
          <w:color w:val="000000"/>
        </w:rPr>
        <w:t>2.2 Study Area</w:t>
      </w:r>
    </w:p>
    <w:p w14:paraId="2DA329BD" w14:textId="48C16AD5" w:rsidR="0083004B" w:rsidRPr="00C07156" w:rsidRDefault="00E14A9E" w:rsidP="00C07156">
      <w:pPr>
        <w:spacing w:after="200" w:line="240" w:lineRule="auto"/>
        <w:rPr>
          <w:rFonts w:ascii="Garamond" w:eastAsia="Garamond" w:hAnsi="Garamond" w:cs="Garamond"/>
          <w:color w:val="000000"/>
        </w:rPr>
      </w:pPr>
      <w:r>
        <w:rPr>
          <w:rFonts w:ascii="Garamond" w:eastAsia="Garamond" w:hAnsi="Garamond" w:cs="Garamond"/>
          <w:color w:val="000000"/>
        </w:rPr>
        <w:t xml:space="preserve">Baltimore is a midsized city of about 570,000 residents located in north-central Maryland, stretching around the Patapsco River that flows into Chesapeake Bay (U.S. Census Bureau, 2022; Maryland Geological Survey, 2024). The city is located along the border of the Piedmont Plateau and the Atlantic Coastal Plain, dividing Baltimore into the ‘lower city’ and ‘upper city’. Baltimore County is home to 846,000 people and extends north from Baltimore City to Maryland’s border with Pennsylvania (U.S. Census Bureau, 2022). </w:t>
      </w:r>
    </w:p>
    <w:p w14:paraId="2DA329BE" w14:textId="35933968" w:rsidR="0083004B" w:rsidRDefault="7492E6F1">
      <w:pPr>
        <w:spacing w:after="200" w:line="276" w:lineRule="auto"/>
        <w:jc w:val="center"/>
        <w:rPr>
          <w:rFonts w:ascii="Garamond" w:eastAsia="Garamond" w:hAnsi="Garamond" w:cs="Garamond"/>
          <w:color w:val="000000"/>
        </w:rPr>
      </w:pPr>
      <w:r>
        <w:rPr>
          <w:noProof/>
        </w:rPr>
        <w:lastRenderedPageBreak/>
        <w:drawing>
          <wp:inline distT="0" distB="0" distL="0" distR="0" wp14:anchorId="66D0CEB9" wp14:editId="4912891F">
            <wp:extent cx="5943600" cy="4724398"/>
            <wp:effectExtent l="0" t="0" r="0" b="0"/>
            <wp:docPr id="1849382125" name="Picture 184938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724398"/>
                    </a:xfrm>
                    <a:prstGeom prst="rect">
                      <a:avLst/>
                    </a:prstGeom>
                  </pic:spPr>
                </pic:pic>
              </a:graphicData>
            </a:graphic>
          </wp:inline>
        </w:drawing>
      </w:r>
      <w:r w:rsidR="00E14A9E" w:rsidRPr="427F62AE">
        <w:rPr>
          <w:rFonts w:ascii="Garamond" w:eastAsia="Garamond" w:hAnsi="Garamond" w:cs="Garamond"/>
          <w:i/>
          <w:color w:val="000000" w:themeColor="text1"/>
        </w:rPr>
        <w:t xml:space="preserve">Figure 1. </w:t>
      </w:r>
      <w:r w:rsidR="00E14A9E" w:rsidRPr="427F62AE">
        <w:rPr>
          <w:rFonts w:ascii="Garamond" w:eastAsia="Garamond" w:hAnsi="Garamond" w:cs="Garamond"/>
          <w:color w:val="000000" w:themeColor="text1"/>
        </w:rPr>
        <w:t>Study area map showing Baltimore City and Baltimore County in relation to the state of Maryland.</w:t>
      </w:r>
    </w:p>
    <w:p w14:paraId="2DA329BF" w14:textId="77777777" w:rsidR="0083004B" w:rsidRDefault="00E14A9E">
      <w:pPr>
        <w:spacing w:after="200" w:line="240" w:lineRule="auto"/>
        <w:rPr>
          <w:rFonts w:ascii="Garamond" w:eastAsia="Garamond" w:hAnsi="Garamond" w:cs="Garamond"/>
        </w:rPr>
      </w:pPr>
      <w:r>
        <w:rPr>
          <w:rFonts w:ascii="Garamond" w:eastAsia="Garamond" w:hAnsi="Garamond" w:cs="Garamond"/>
        </w:rPr>
        <w:t>Baltimore faces many challenges due to climate change, limited not only to heat, but also increased coastal flooding, extreme precipitation, and other alterations to local climate systems (National Academies of Science, Engineering, and Medicine; 2019). The number of danger days, or days with a heat index above 105°F, are expected to increase from 8 in 2000 to 47 by 2050 (Climate Check, 2024). While these extreme weather trends affect large swaths of the United States, their impacts are not felt uniformly. A host of recent literature in urban political ecology and urban studies details how the legacies of racism and redlining and historical lack of investment in underserved communities, often communities of color, have affected urban settings in the US and more specifically in Baltimore (Grove et al. 2017; Hsu et al., 2021; Wilson, 2020). Baltimore, through de jure and de facto segregation, has become a heterogenous mosaic of environmental amenities and dis-amenities (Grove et al., 2017). These intersecting realities manifest most clearly in the Butterfly Effect (Appendix A), the Highway to Nowhere, and other phenomena well documented in Baltimore City (Brown, 2022; Phillips de Lucas, 2020; Boone et al., 2014). Baltimore presents an interesting case study given its history as a Long-Term Ecological Research (LTER) site through the National Science Foundation since 1998 and its vulnerability to the effects of climate change, some of which are already playing out (Maryland Department of the Environment, 2020).</w:t>
      </w:r>
    </w:p>
    <w:p w14:paraId="2DA329C0" w14:textId="77777777" w:rsidR="0083004B" w:rsidRDefault="00E14A9E">
      <w:pPr>
        <w:spacing w:after="0" w:line="240" w:lineRule="auto"/>
        <w:rPr>
          <w:rFonts w:ascii="Garamond" w:eastAsia="Garamond" w:hAnsi="Garamond" w:cs="Garamond"/>
          <w:color w:val="000000"/>
        </w:rPr>
      </w:pPr>
      <w:r>
        <w:rPr>
          <w:rFonts w:ascii="Garamond" w:eastAsia="Garamond" w:hAnsi="Garamond" w:cs="Garamond"/>
        </w:rPr>
        <w:t>There is a continued need to characterize heat in cities to provide data for heat mitigation planning. Remote sensing and NASA EOs have the potential to aid in this effort and address transportation resiliency efforts in Baltimore. Past DEVELOP projects have done similar wo</w:t>
      </w:r>
      <w:r>
        <w:rPr>
          <w:rFonts w:ascii="Garamond" w:eastAsia="Garamond" w:hAnsi="Garamond" w:cs="Garamond"/>
          <w:color w:val="000000"/>
        </w:rPr>
        <w:t xml:space="preserve">rk with both urban heat and transportation systems </w:t>
      </w:r>
      <w:r>
        <w:rPr>
          <w:rFonts w:ascii="Garamond" w:eastAsia="Garamond" w:hAnsi="Garamond" w:cs="Garamond"/>
          <w:color w:val="000000"/>
        </w:rPr>
        <w:lastRenderedPageBreak/>
        <w:t>(</w:t>
      </w:r>
      <w:proofErr w:type="spellStart"/>
      <w:r>
        <w:rPr>
          <w:rFonts w:ascii="Garamond" w:eastAsia="Garamond" w:hAnsi="Garamond" w:cs="Garamond"/>
          <w:color w:val="000000"/>
        </w:rPr>
        <w:t>Schindelman</w:t>
      </w:r>
      <w:proofErr w:type="spellEnd"/>
      <w:r>
        <w:rPr>
          <w:rFonts w:ascii="Garamond" w:eastAsia="Garamond" w:hAnsi="Garamond" w:cs="Garamond"/>
          <w:color w:val="000000"/>
        </w:rPr>
        <w:t xml:space="preserve"> et al., 2023; Boogaard et al., 2020; </w:t>
      </w:r>
      <w:proofErr w:type="spellStart"/>
      <w:r>
        <w:rPr>
          <w:rFonts w:ascii="Garamond" w:eastAsia="Garamond" w:hAnsi="Garamond" w:cs="Garamond"/>
          <w:color w:val="000000"/>
        </w:rPr>
        <w:t>Barbakova</w:t>
      </w:r>
      <w:proofErr w:type="spellEnd"/>
      <w:r>
        <w:rPr>
          <w:rFonts w:ascii="Garamond" w:eastAsia="Garamond" w:hAnsi="Garamond" w:cs="Garamond"/>
          <w:color w:val="000000"/>
        </w:rPr>
        <w:t xml:space="preserve"> et al., 2021; Keyes et al., 2022; Kessler et al., 2023; </w:t>
      </w:r>
      <w:proofErr w:type="spellStart"/>
      <w:r>
        <w:rPr>
          <w:rFonts w:ascii="Garamond" w:eastAsia="Garamond" w:hAnsi="Garamond" w:cs="Garamond"/>
          <w:color w:val="000000"/>
        </w:rPr>
        <w:t>Krisch</w:t>
      </w:r>
      <w:proofErr w:type="spellEnd"/>
      <w:r>
        <w:rPr>
          <w:rFonts w:ascii="Garamond" w:eastAsia="Garamond" w:hAnsi="Garamond" w:cs="Garamond"/>
          <w:color w:val="000000"/>
        </w:rPr>
        <w:t xml:space="preserve"> et al., 2024).</w:t>
      </w:r>
    </w:p>
    <w:p w14:paraId="2DA329C1" w14:textId="77777777" w:rsidR="0083004B" w:rsidRDefault="0083004B">
      <w:pPr>
        <w:spacing w:after="0" w:line="240" w:lineRule="auto"/>
      </w:pPr>
    </w:p>
    <w:p w14:paraId="2DA329C2" w14:textId="77777777" w:rsidR="0083004B" w:rsidRDefault="0083004B">
      <w:pPr>
        <w:spacing w:after="0" w:line="240" w:lineRule="auto"/>
        <w:rPr>
          <w:rFonts w:ascii="Garamond" w:eastAsia="Garamond" w:hAnsi="Garamond" w:cs="Garamond"/>
          <w:color w:val="000000"/>
        </w:rPr>
      </w:pPr>
    </w:p>
    <w:p w14:paraId="2DA329C3"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i/>
          <w:color w:val="000000"/>
        </w:rPr>
        <w:t>2.3 Project Partners &amp; Objectives</w:t>
      </w:r>
    </w:p>
    <w:p w14:paraId="2DA329C4"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Maryland Transit Administration (MTA), a</w:t>
      </w:r>
      <w:r>
        <w:rPr>
          <w:rFonts w:ascii="Garamond" w:eastAsia="Garamond" w:hAnsi="Garamond" w:cs="Garamond"/>
          <w:color w:val="201F1E"/>
        </w:rPr>
        <w:t xml:space="preserve"> subagency of Maryland’s Department of Transportation (MDOT), operates </w:t>
      </w:r>
      <w:r>
        <w:rPr>
          <w:rFonts w:ascii="Garamond" w:eastAsia="Garamond" w:hAnsi="Garamond" w:cs="Garamond"/>
          <w:color w:val="000000"/>
        </w:rPr>
        <w:t xml:space="preserve">buses, light rail, and trains in and around Baltimore City and County. MTA has already conducted studies focusing on other extreme climate issues such as hurricanes and flooding, and now is expanding their scope to assess extreme heat and UHI. Assessing how urban heat affects transit ridership and the broader community will allow MTA to target their mitigation strategies towards people that are more at risk of experiencing increased chronic and extreme heat at Baltimore bus stops. The MTA’s Adaptation and Resiliency Toolbox (ART) includes water-based disaster data, such as flooding, but lacks regional heat data. Starting with this DEVELOP study, MTA will be able to expand this resource to incorporate updated extreme heat and UHI related data and enhance their existing capacity to manage their resiliency dashboard to </w:t>
      </w:r>
      <w:r>
        <w:rPr>
          <w:rFonts w:ascii="Garamond" w:eastAsia="Garamond" w:hAnsi="Garamond" w:cs="Garamond"/>
          <w:color w:val="201F1E"/>
        </w:rPr>
        <w:t>ultimately inform mitigation and efforts surrounding bus infrastructure in an equity framework. Creating accessible visualizations of recent</w:t>
      </w:r>
      <w:r>
        <w:rPr>
          <w:rFonts w:ascii="Garamond" w:eastAsia="Garamond" w:hAnsi="Garamond" w:cs="Garamond"/>
          <w:color w:val="000000"/>
        </w:rPr>
        <w:t xml:space="preserve"> UHI and extreme heat data will allow MTA to integrate heat metrics into their existing framework and provide science-based evidence for action. To accurately represent recent trends of heat vulnerability and its impacts, we collected and analyzed data from the summer and early fall months of the last 10-years (2013-2023). Utilizing NASA EOs, we provided visualizations synergizing the relationship between neighborhood-level socioeconomic assemblages with heat vulnerability to inform MTA on how UHI affect commuters, thus guiding MTA’s equity-informed heat mitigation and climate resiliency efforts. We produced visualizations of social vulnerability, environmental exposure, a prioritization index, and an Outdoor Thermal Comfort (OTC) assessment within Baltimore City and County using remote sensing, programming, and GIS software to inform transportation resiliency education and efforts. </w:t>
      </w:r>
    </w:p>
    <w:p w14:paraId="2DA329C5" w14:textId="77777777" w:rsidR="0083004B" w:rsidRDefault="0083004B">
      <w:pPr>
        <w:spacing w:after="0" w:line="240" w:lineRule="auto"/>
        <w:rPr>
          <w:rFonts w:ascii="Garamond" w:eastAsia="Garamond" w:hAnsi="Garamond" w:cs="Garamond"/>
          <w:b/>
          <w:color w:val="365F91"/>
          <w:sz w:val="28"/>
          <w:szCs w:val="28"/>
        </w:rPr>
      </w:pPr>
    </w:p>
    <w:p w14:paraId="2DA329C6"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365F91"/>
          <w:sz w:val="28"/>
          <w:szCs w:val="28"/>
        </w:rPr>
        <w:t>3. Methodology</w:t>
      </w:r>
    </w:p>
    <w:p w14:paraId="2DA329C7" w14:textId="77777777" w:rsidR="0083004B" w:rsidRDefault="00E14A9E">
      <w:pPr>
        <w:spacing w:after="0" w:line="240" w:lineRule="auto"/>
        <w:rPr>
          <w:rFonts w:ascii="Garamond" w:eastAsia="Garamond" w:hAnsi="Garamond" w:cs="Garamond"/>
          <w:b/>
          <w:i/>
          <w:color w:val="000000"/>
        </w:rPr>
      </w:pPr>
      <w:r>
        <w:rPr>
          <w:rFonts w:ascii="Garamond" w:eastAsia="Garamond" w:hAnsi="Garamond" w:cs="Garamond"/>
          <w:b/>
          <w:i/>
          <w:color w:val="000000"/>
        </w:rPr>
        <w:t>3.1 Data Acquisition</w:t>
      </w:r>
    </w:p>
    <w:p w14:paraId="2DA329C8" w14:textId="77777777" w:rsidR="0083004B" w:rsidRDefault="00E14A9E">
      <w:pPr>
        <w:spacing w:after="0" w:line="240" w:lineRule="auto"/>
        <w:rPr>
          <w:rFonts w:ascii="Garamond" w:eastAsia="Garamond" w:hAnsi="Garamond" w:cs="Garamond"/>
          <w:b/>
          <w:i/>
          <w:color w:val="000000"/>
        </w:rPr>
      </w:pPr>
      <w:r>
        <w:rPr>
          <w:rFonts w:ascii="Garamond" w:eastAsia="Garamond" w:hAnsi="Garamond" w:cs="Garamond"/>
          <w:i/>
          <w:color w:val="000000"/>
        </w:rPr>
        <w:t xml:space="preserve">3.1.1 Earth Observations </w:t>
      </w:r>
    </w:p>
    <w:p w14:paraId="2DA329C9" w14:textId="77777777" w:rsidR="0083004B" w:rsidRDefault="00E14A9E">
      <w:pPr>
        <w:spacing w:after="200" w:line="240" w:lineRule="auto"/>
        <w:rPr>
          <w:rFonts w:ascii="Garamond" w:eastAsia="Garamond" w:hAnsi="Garamond" w:cs="Garamond"/>
        </w:rPr>
      </w:pPr>
      <w:r>
        <w:rPr>
          <w:rFonts w:ascii="Garamond" w:eastAsia="Garamond" w:hAnsi="Garamond" w:cs="Garamond"/>
          <w:color w:val="000000"/>
        </w:rPr>
        <w:t xml:space="preserve">We used publicly available, open-source data for most of the analysis conducted. To perform heat mapping, we accessed Landsat 8 Level 2/ Collection 2 products from the Operational Land Imager (OLI) and Thermal Infrared Sensor (TIRS) instruments to calculate albedo and daytime Land Surface Temperature (LST) via the Google Earth Engine (GEE) catalog. We repeated this process for the Normalized Difference Vegetation Index (NDVI) and Normalized Difference Built-up Index (NDBI), clipping each dataset to Baltimore City and County and filtering the data from June to October between 2013 to 2023. Terra and Aqua </w:t>
      </w:r>
      <w:r>
        <w:rPr>
          <w:rFonts w:ascii="Garamond" w:eastAsia="Garamond" w:hAnsi="Garamond" w:cs="Garamond"/>
        </w:rPr>
        <w:t xml:space="preserve">Moderate Resolution Imaging Spectroradiometer (MODIS) data </w:t>
      </w:r>
      <w:r>
        <w:rPr>
          <w:rFonts w:ascii="Garamond" w:eastAsia="Garamond" w:hAnsi="Garamond" w:cs="Garamond"/>
          <w:color w:val="000000"/>
        </w:rPr>
        <w:t xml:space="preserve">was accessed via the GEE catalog for the same period and study area for nighttime LST and Normalized Difference Water Index (NDWI) respectively. We chose these indices to encapsulate various natural and built environmental factors that would influence heat distribution and would factor into the heat vulnerability assessment (Table 1). </w:t>
      </w:r>
    </w:p>
    <w:p w14:paraId="2DA329CA" w14:textId="77777777" w:rsidR="0083004B" w:rsidRDefault="00E14A9E">
      <w:pPr>
        <w:spacing w:after="0" w:line="240" w:lineRule="auto"/>
        <w:rPr>
          <w:rFonts w:ascii="Garamond" w:eastAsia="Garamond" w:hAnsi="Garamond" w:cs="Garamond"/>
        </w:rPr>
      </w:pPr>
      <w:r>
        <w:rPr>
          <w:rFonts w:ascii="Garamond" w:eastAsia="Garamond" w:hAnsi="Garamond" w:cs="Garamond"/>
        </w:rPr>
        <w:t>Table 1</w:t>
      </w:r>
    </w:p>
    <w:p w14:paraId="2DA329CB" w14:textId="77777777" w:rsidR="0083004B" w:rsidRDefault="00E14A9E">
      <w:pPr>
        <w:spacing w:after="0" w:line="360" w:lineRule="auto"/>
        <w:rPr>
          <w:rFonts w:ascii="Garamond" w:eastAsia="Garamond" w:hAnsi="Garamond" w:cs="Garamond"/>
          <w:i/>
        </w:rPr>
      </w:pPr>
      <w:r>
        <w:rPr>
          <w:rFonts w:ascii="Garamond" w:eastAsia="Garamond" w:hAnsi="Garamond" w:cs="Garamond"/>
          <w:i/>
        </w:rPr>
        <w:t>NASA Earth observations collected for indices within Heat Island Assessment</w:t>
      </w:r>
    </w:p>
    <w:tbl>
      <w:tblPr>
        <w:tblStyle w:val="a"/>
        <w:tblW w:w="9532" w:type="dxa"/>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1141"/>
        <w:gridCol w:w="1461"/>
        <w:gridCol w:w="1890"/>
        <w:gridCol w:w="1170"/>
        <w:gridCol w:w="1363"/>
        <w:gridCol w:w="1288"/>
        <w:gridCol w:w="1219"/>
      </w:tblGrid>
      <w:tr w:rsidR="0083004B" w14:paraId="2DA329D3" w14:textId="77777777" w:rsidTr="1BD6A8E9">
        <w:trPr>
          <w:trHeight w:val="360"/>
        </w:trPr>
        <w:tc>
          <w:tcPr>
            <w:tcW w:w="11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A329CC" w14:textId="77777777" w:rsidR="0083004B" w:rsidRDefault="00E14A9E">
            <w:pPr>
              <w:spacing w:line="276" w:lineRule="auto"/>
              <w:jc w:val="center"/>
              <w:rPr>
                <w:rFonts w:ascii="Garamond" w:eastAsia="Garamond" w:hAnsi="Garamond" w:cs="Garamond"/>
                <w:color w:val="000000"/>
              </w:rPr>
            </w:pPr>
            <w:r>
              <w:rPr>
                <w:rFonts w:ascii="Garamond" w:eastAsia="Garamond" w:hAnsi="Garamond" w:cs="Garamond"/>
                <w:b/>
                <w:color w:val="000000"/>
              </w:rPr>
              <w:t>Platform/ Program</w:t>
            </w:r>
          </w:p>
        </w:tc>
        <w:tc>
          <w:tcPr>
            <w:tcW w:w="14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A329CD" w14:textId="77777777" w:rsidR="0083004B" w:rsidRDefault="00E14A9E">
            <w:pPr>
              <w:spacing w:line="276" w:lineRule="auto"/>
              <w:jc w:val="center"/>
              <w:rPr>
                <w:rFonts w:ascii="Garamond" w:eastAsia="Garamond" w:hAnsi="Garamond" w:cs="Garamond"/>
                <w:color w:val="000000"/>
              </w:rPr>
            </w:pPr>
            <w:r>
              <w:rPr>
                <w:rFonts w:ascii="Garamond" w:eastAsia="Garamond" w:hAnsi="Garamond" w:cs="Garamond"/>
                <w:b/>
                <w:color w:val="000000"/>
              </w:rPr>
              <w:t>Sensor</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A329CE" w14:textId="77777777" w:rsidR="0083004B" w:rsidRDefault="00E14A9E">
            <w:pPr>
              <w:spacing w:line="276" w:lineRule="auto"/>
              <w:jc w:val="center"/>
              <w:rPr>
                <w:rFonts w:ascii="Garamond" w:eastAsia="Garamond" w:hAnsi="Garamond" w:cs="Garamond"/>
                <w:color w:val="000000"/>
              </w:rPr>
            </w:pPr>
            <w:r>
              <w:rPr>
                <w:rFonts w:ascii="Garamond" w:eastAsia="Garamond" w:hAnsi="Garamond" w:cs="Garamond"/>
                <w:b/>
                <w:color w:val="000000"/>
              </w:rPr>
              <w:t>Product ID</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A329CF" w14:textId="77777777" w:rsidR="0083004B" w:rsidRDefault="00E14A9E">
            <w:pPr>
              <w:jc w:val="center"/>
              <w:rPr>
                <w:rFonts w:ascii="Garamond" w:eastAsia="Garamond" w:hAnsi="Garamond" w:cs="Garamond"/>
                <w:color w:val="000000"/>
              </w:rPr>
            </w:pPr>
            <w:r>
              <w:rPr>
                <w:rFonts w:ascii="Garamond" w:eastAsia="Garamond" w:hAnsi="Garamond" w:cs="Garamond"/>
                <w:b/>
                <w:color w:val="000000"/>
              </w:rPr>
              <w:t>Purpose</w:t>
            </w:r>
          </w:p>
        </w:tc>
        <w:tc>
          <w:tcPr>
            <w:tcW w:w="1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A329D0" w14:textId="77777777" w:rsidR="0083004B" w:rsidRDefault="00E14A9E">
            <w:pPr>
              <w:spacing w:line="276" w:lineRule="auto"/>
              <w:jc w:val="center"/>
              <w:rPr>
                <w:rFonts w:ascii="Garamond" w:eastAsia="Garamond" w:hAnsi="Garamond" w:cs="Garamond"/>
                <w:color w:val="000000"/>
              </w:rPr>
            </w:pPr>
            <w:r>
              <w:rPr>
                <w:rFonts w:ascii="Garamond" w:eastAsia="Garamond" w:hAnsi="Garamond" w:cs="Garamond"/>
                <w:b/>
                <w:color w:val="000000"/>
              </w:rPr>
              <w:t>Dates Used</w:t>
            </w:r>
          </w:p>
        </w:tc>
        <w:tc>
          <w:tcPr>
            <w:tcW w:w="128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A329D1" w14:textId="77777777" w:rsidR="0083004B" w:rsidRDefault="00E14A9E">
            <w:pPr>
              <w:spacing w:line="276" w:lineRule="auto"/>
              <w:jc w:val="center"/>
              <w:rPr>
                <w:rFonts w:ascii="Garamond" w:eastAsia="Garamond" w:hAnsi="Garamond" w:cs="Garamond"/>
                <w:color w:val="000000"/>
              </w:rPr>
            </w:pPr>
            <w:r>
              <w:rPr>
                <w:rFonts w:ascii="Garamond" w:eastAsia="Garamond" w:hAnsi="Garamond" w:cs="Garamond"/>
                <w:b/>
                <w:color w:val="000000"/>
              </w:rPr>
              <w:t>Acquisition Method</w:t>
            </w:r>
          </w:p>
        </w:tc>
        <w:tc>
          <w:tcPr>
            <w:tcW w:w="12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A329D2" w14:textId="77777777" w:rsidR="0083004B" w:rsidRDefault="00E14A9E">
            <w:pPr>
              <w:jc w:val="center"/>
              <w:rPr>
                <w:rFonts w:ascii="Garamond" w:eastAsia="Garamond" w:hAnsi="Garamond" w:cs="Garamond"/>
                <w:b/>
                <w:color w:val="000000"/>
              </w:rPr>
            </w:pPr>
            <w:r>
              <w:rPr>
                <w:rFonts w:ascii="Garamond" w:eastAsia="Garamond" w:hAnsi="Garamond" w:cs="Garamond"/>
                <w:b/>
                <w:color w:val="000000"/>
              </w:rPr>
              <w:t>Spatial Resolution</w:t>
            </w:r>
          </w:p>
        </w:tc>
      </w:tr>
      <w:tr w:rsidR="0083004B" w14:paraId="2DA329E2" w14:textId="77777777" w:rsidTr="1BD6A8E9">
        <w:trPr>
          <w:trHeight w:val="300"/>
        </w:trPr>
        <w:tc>
          <w:tcPr>
            <w:tcW w:w="1141"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D4" w14:textId="77777777" w:rsidR="0083004B" w:rsidRDefault="00E14A9E">
            <w:pPr>
              <w:jc w:val="center"/>
              <w:rPr>
                <w:rFonts w:ascii="Garamond" w:eastAsia="Garamond" w:hAnsi="Garamond" w:cs="Garamond"/>
                <w:color w:val="000000"/>
                <w:sz w:val="20"/>
                <w:szCs w:val="20"/>
              </w:rPr>
            </w:pPr>
            <w:r>
              <w:rPr>
                <w:rFonts w:ascii="Garamond" w:eastAsia="Garamond" w:hAnsi="Garamond" w:cs="Garamond"/>
                <w:color w:val="000000"/>
                <w:sz w:val="20"/>
                <w:szCs w:val="20"/>
              </w:rPr>
              <w:t>Landsat 8</w:t>
            </w:r>
          </w:p>
        </w:tc>
        <w:tc>
          <w:tcPr>
            <w:tcW w:w="14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D5"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Operational Land Imager (OLI)</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D6"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LANDSAT/OLI/LT08/C02/</w:t>
            </w:r>
          </w:p>
          <w:p w14:paraId="2DA329D7"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Level-2</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D8"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 NDVI, NDBI, Albedo </w:t>
            </w:r>
          </w:p>
        </w:tc>
        <w:tc>
          <w:tcPr>
            <w:tcW w:w="1363"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D9"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June 15th – September 15th from 2013 – 2021</w:t>
            </w:r>
          </w:p>
        </w:tc>
        <w:tc>
          <w:tcPr>
            <w:tcW w:w="1288"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A329DA" w14:textId="77777777" w:rsidR="0083004B" w:rsidRDefault="0083004B">
            <w:pPr>
              <w:spacing w:line="276" w:lineRule="auto"/>
              <w:jc w:val="center"/>
              <w:rPr>
                <w:rFonts w:ascii="Garamond" w:eastAsia="Garamond" w:hAnsi="Garamond" w:cs="Garamond"/>
                <w:color w:val="000000"/>
                <w:sz w:val="20"/>
                <w:szCs w:val="20"/>
              </w:rPr>
            </w:pPr>
          </w:p>
          <w:p w14:paraId="2DA329DB" w14:textId="77777777" w:rsidR="0083004B" w:rsidRDefault="0083004B">
            <w:pPr>
              <w:spacing w:line="276" w:lineRule="auto"/>
              <w:jc w:val="center"/>
              <w:rPr>
                <w:rFonts w:ascii="Garamond" w:eastAsia="Garamond" w:hAnsi="Garamond" w:cs="Garamond"/>
                <w:color w:val="000000"/>
                <w:sz w:val="20"/>
                <w:szCs w:val="20"/>
              </w:rPr>
            </w:pPr>
          </w:p>
          <w:p w14:paraId="2DA329DC"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GEE</w:t>
            </w:r>
          </w:p>
          <w:p w14:paraId="2DA329DD" w14:textId="77777777" w:rsidR="0083004B" w:rsidRDefault="0083004B">
            <w:pPr>
              <w:spacing w:line="276" w:lineRule="auto"/>
              <w:jc w:val="center"/>
              <w:rPr>
                <w:rFonts w:ascii="Garamond" w:eastAsia="Garamond" w:hAnsi="Garamond" w:cs="Garamond"/>
                <w:color w:val="000000"/>
                <w:sz w:val="20"/>
                <w:szCs w:val="20"/>
              </w:rPr>
            </w:pPr>
          </w:p>
          <w:p w14:paraId="2DA329DE" w14:textId="77777777" w:rsidR="0083004B" w:rsidRDefault="0083004B">
            <w:pPr>
              <w:spacing w:line="276" w:lineRule="auto"/>
              <w:jc w:val="center"/>
              <w:rPr>
                <w:rFonts w:ascii="Garamond" w:eastAsia="Garamond" w:hAnsi="Garamond" w:cs="Garamond"/>
                <w:color w:val="000000"/>
                <w:sz w:val="20"/>
                <w:szCs w:val="20"/>
              </w:rPr>
            </w:pPr>
          </w:p>
          <w:p w14:paraId="2DA329DF" w14:textId="77777777" w:rsidR="0083004B" w:rsidRDefault="0083004B">
            <w:pPr>
              <w:spacing w:line="276" w:lineRule="auto"/>
              <w:jc w:val="center"/>
              <w:rPr>
                <w:rFonts w:ascii="Garamond" w:eastAsia="Garamond" w:hAnsi="Garamond" w:cs="Garamond"/>
                <w:color w:val="000000"/>
                <w:sz w:val="20"/>
                <w:szCs w:val="20"/>
              </w:rPr>
            </w:pPr>
          </w:p>
          <w:p w14:paraId="2DA329E0" w14:textId="77777777" w:rsidR="0083004B" w:rsidRDefault="0083004B">
            <w:pPr>
              <w:spacing w:line="276" w:lineRule="auto"/>
              <w:jc w:val="center"/>
              <w:rPr>
                <w:rFonts w:ascii="Garamond" w:eastAsia="Garamond" w:hAnsi="Garamond" w:cs="Garamond"/>
                <w:color w:val="000000"/>
                <w:sz w:val="20"/>
                <w:szCs w:val="20"/>
              </w:rPr>
            </w:pPr>
          </w:p>
        </w:tc>
        <w:tc>
          <w:tcPr>
            <w:tcW w:w="12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E1"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lastRenderedPageBreak/>
              <w:t>30-meter</w:t>
            </w:r>
          </w:p>
        </w:tc>
      </w:tr>
      <w:tr w:rsidR="0083004B" w14:paraId="2DA329EB" w14:textId="77777777" w:rsidTr="1BD6A8E9">
        <w:trPr>
          <w:trHeight w:val="750"/>
        </w:trPr>
        <w:tc>
          <w:tcPr>
            <w:tcW w:w="1141" w:type="dxa"/>
            <w:vMerge/>
            <w:tcMar>
              <w:left w:w="105" w:type="dxa"/>
              <w:right w:w="105" w:type="dxa"/>
            </w:tcMar>
          </w:tcPr>
          <w:p w14:paraId="2DA329E3"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14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E4"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Thermal Infrared Sensor (TIRS)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E5"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LANDSAT/TIRS/LT08/C02/</w:t>
            </w:r>
          </w:p>
          <w:p w14:paraId="2DA329E6"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Level-2</w:t>
            </w:r>
          </w:p>
        </w:tc>
        <w:tc>
          <w:tcPr>
            <w:tcW w:w="1170" w:type="dxa"/>
            <w:tcBorders>
              <w:top w:val="single" w:sz="6" w:space="0" w:color="000000" w:themeColor="text1"/>
              <w:left w:val="single" w:sz="6" w:space="0" w:color="000000" w:themeColor="text1"/>
              <w:right w:val="single" w:sz="6" w:space="0" w:color="000000" w:themeColor="text1"/>
            </w:tcBorders>
            <w:tcMar>
              <w:left w:w="105" w:type="dxa"/>
              <w:right w:w="105" w:type="dxa"/>
            </w:tcMar>
          </w:tcPr>
          <w:p w14:paraId="2DA329E7" w14:textId="77777777" w:rsidR="0083004B" w:rsidRDefault="00E14A9E">
            <w:pPr>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 LST</w:t>
            </w:r>
          </w:p>
        </w:tc>
        <w:tc>
          <w:tcPr>
            <w:tcW w:w="1363" w:type="dxa"/>
            <w:vMerge/>
            <w:tcMar>
              <w:left w:w="105" w:type="dxa"/>
              <w:right w:w="105" w:type="dxa"/>
            </w:tcMar>
          </w:tcPr>
          <w:p w14:paraId="2DA329E8"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1288" w:type="dxa"/>
            <w:vMerge/>
            <w:tcMar>
              <w:left w:w="105" w:type="dxa"/>
              <w:right w:w="105" w:type="dxa"/>
            </w:tcMar>
            <w:vAlign w:val="center"/>
          </w:tcPr>
          <w:p w14:paraId="2DA329E9"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1219" w:type="dxa"/>
            <w:tcBorders>
              <w:left w:val="single" w:sz="6" w:space="0" w:color="000000" w:themeColor="text1"/>
              <w:bottom w:val="single" w:sz="6" w:space="0" w:color="000000" w:themeColor="text1"/>
              <w:right w:val="single" w:sz="6" w:space="0" w:color="000000" w:themeColor="text1"/>
            </w:tcBorders>
            <w:tcMar>
              <w:left w:w="105" w:type="dxa"/>
              <w:right w:w="105" w:type="dxa"/>
            </w:tcMar>
          </w:tcPr>
          <w:p w14:paraId="2DA329EA"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100-meter</w:t>
            </w:r>
          </w:p>
        </w:tc>
      </w:tr>
      <w:tr w:rsidR="0083004B" w14:paraId="2DA329F6" w14:textId="77777777" w:rsidTr="1BD6A8E9">
        <w:trPr>
          <w:trHeight w:val="930"/>
        </w:trPr>
        <w:tc>
          <w:tcPr>
            <w:tcW w:w="11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EC" w14:textId="77777777" w:rsidR="0083004B" w:rsidRDefault="00C07156">
            <w:pPr>
              <w:jc w:val="center"/>
            </w:pPr>
            <w:sdt>
              <w:sdtPr>
                <w:tag w:val="goog_rdk_2"/>
                <w:id w:val="1433007119"/>
              </w:sdtPr>
              <w:sdtEndPr/>
              <w:sdtContent/>
            </w:sdt>
            <w:sdt>
              <w:sdtPr>
                <w:tag w:val="goog_rdk_3"/>
                <w:id w:val="1252385184"/>
              </w:sdtPr>
              <w:sdtEndPr/>
              <w:sdtContent/>
            </w:sdt>
            <w:r w:rsidR="00E14A9E" w:rsidRPr="1BD6A8E9">
              <w:rPr>
                <w:rFonts w:ascii="Garamond" w:eastAsia="Garamond" w:hAnsi="Garamond" w:cs="Garamond"/>
                <w:color w:val="000000" w:themeColor="text1"/>
                <w:sz w:val="20"/>
                <w:szCs w:val="20"/>
              </w:rPr>
              <w:t>Terra</w:t>
            </w:r>
          </w:p>
        </w:tc>
        <w:tc>
          <w:tcPr>
            <w:tcW w:w="14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ED" w14:textId="77777777" w:rsidR="0083004B" w:rsidRDefault="00E14A9E">
            <w:pPr>
              <w:jc w:val="center"/>
              <w:rPr>
                <w:rFonts w:ascii="Garamond" w:eastAsia="Garamond" w:hAnsi="Garamond" w:cs="Garamond"/>
                <w:color w:val="000000"/>
                <w:sz w:val="20"/>
                <w:szCs w:val="20"/>
              </w:rPr>
            </w:pPr>
            <w:r>
              <w:rPr>
                <w:rFonts w:ascii="Garamond" w:eastAsia="Garamond" w:hAnsi="Garamond" w:cs="Garamond"/>
                <w:color w:val="000000"/>
                <w:sz w:val="20"/>
                <w:szCs w:val="20"/>
              </w:rPr>
              <w:t>Moderate Resolution</w:t>
            </w:r>
          </w:p>
          <w:p w14:paraId="2DA329EE" w14:textId="77777777" w:rsidR="0083004B" w:rsidRDefault="00E14A9E">
            <w:pPr>
              <w:jc w:val="center"/>
              <w:rPr>
                <w:rFonts w:ascii="Garamond" w:eastAsia="Garamond" w:hAnsi="Garamond" w:cs="Garamond"/>
                <w:color w:val="000000"/>
                <w:sz w:val="20"/>
                <w:szCs w:val="20"/>
              </w:rPr>
            </w:pPr>
            <w:r>
              <w:rPr>
                <w:rFonts w:ascii="Garamond" w:eastAsia="Garamond" w:hAnsi="Garamond" w:cs="Garamond"/>
                <w:color w:val="000000"/>
                <w:sz w:val="20"/>
                <w:szCs w:val="20"/>
              </w:rPr>
              <w:t>Spectral Radiometer</w:t>
            </w:r>
          </w:p>
          <w:p w14:paraId="2DA329EF" w14:textId="77777777" w:rsidR="0083004B" w:rsidRDefault="00E14A9E">
            <w:pPr>
              <w:jc w:val="center"/>
              <w:rPr>
                <w:rFonts w:ascii="Garamond" w:eastAsia="Garamond" w:hAnsi="Garamond" w:cs="Garamond"/>
                <w:color w:val="000000"/>
                <w:sz w:val="20"/>
                <w:szCs w:val="20"/>
              </w:rPr>
            </w:pPr>
            <w:r>
              <w:rPr>
                <w:rFonts w:ascii="Garamond" w:eastAsia="Garamond" w:hAnsi="Garamond" w:cs="Garamond"/>
                <w:color w:val="000000"/>
                <w:sz w:val="20"/>
                <w:szCs w:val="20"/>
              </w:rPr>
              <w:t>(MODIS)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F0" w14:textId="77777777" w:rsidR="0083004B" w:rsidRDefault="00E14A9E">
            <w:pPr>
              <w:jc w:val="center"/>
              <w:rPr>
                <w:rFonts w:ascii="Garamond" w:eastAsia="Garamond" w:hAnsi="Garamond" w:cs="Garamond"/>
              </w:rPr>
            </w:pPr>
            <w:r>
              <w:rPr>
                <w:rFonts w:ascii="Garamond" w:eastAsia="Garamond" w:hAnsi="Garamond" w:cs="Garamond"/>
              </w:rPr>
              <w:t>MOD11A2 Version 6 average Surface Temperature and Emissivity Product</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C488E90" w14:textId="6D948485" w:rsidR="0083004B" w:rsidRDefault="2FC93CC9" w:rsidP="246A7F09">
            <w:pPr>
              <w:jc w:val="center"/>
              <w:rPr>
                <w:rFonts w:ascii="Garamond" w:eastAsia="Garamond" w:hAnsi="Garamond" w:cs="Garamond"/>
                <w:sz w:val="20"/>
                <w:szCs w:val="20"/>
              </w:rPr>
            </w:pPr>
            <w:r w:rsidRPr="246A7F09">
              <w:rPr>
                <w:rFonts w:ascii="Garamond" w:eastAsia="Garamond" w:hAnsi="Garamond" w:cs="Garamond"/>
                <w:sz w:val="20"/>
                <w:szCs w:val="20"/>
              </w:rPr>
              <w:t>Nighttime</w:t>
            </w:r>
            <w:r w:rsidR="00E14A9E" w:rsidRPr="246A7F09">
              <w:rPr>
                <w:rFonts w:ascii="Garamond" w:eastAsia="Garamond" w:hAnsi="Garamond" w:cs="Garamond"/>
                <w:sz w:val="20"/>
                <w:szCs w:val="20"/>
              </w:rPr>
              <w:t xml:space="preserve"> </w:t>
            </w:r>
          </w:p>
          <w:p w14:paraId="2DA329F1" w14:textId="01DE304A" w:rsidR="0083004B" w:rsidRDefault="00E14A9E">
            <w:pPr>
              <w:jc w:val="center"/>
            </w:pPr>
            <w:r w:rsidRPr="246A7F09">
              <w:rPr>
                <w:rFonts w:ascii="Garamond" w:eastAsia="Garamond" w:hAnsi="Garamond" w:cs="Garamond"/>
                <w:sz w:val="20"/>
                <w:szCs w:val="20"/>
              </w:rPr>
              <w:t>LST</w:t>
            </w:r>
          </w:p>
        </w:tc>
        <w:tc>
          <w:tcPr>
            <w:tcW w:w="1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F2" w14:textId="77777777" w:rsidR="0083004B" w:rsidRDefault="00E14A9E">
            <w:pPr>
              <w:jc w:val="center"/>
              <w:rPr>
                <w:rFonts w:ascii="Garamond" w:eastAsia="Garamond" w:hAnsi="Garamond" w:cs="Garamond"/>
                <w:color w:val="000000"/>
                <w:sz w:val="20"/>
                <w:szCs w:val="20"/>
              </w:rPr>
            </w:pPr>
            <w:r>
              <w:rPr>
                <w:rFonts w:ascii="Garamond" w:eastAsia="Garamond" w:hAnsi="Garamond" w:cs="Garamond"/>
                <w:color w:val="000000"/>
                <w:sz w:val="20"/>
                <w:szCs w:val="20"/>
              </w:rPr>
              <w:t>June 15th - October 15th from 2013 – 2023</w:t>
            </w:r>
          </w:p>
        </w:tc>
        <w:tc>
          <w:tcPr>
            <w:tcW w:w="1288" w:type="dxa"/>
            <w:vMerge/>
            <w:tcMar>
              <w:left w:w="105" w:type="dxa"/>
              <w:right w:w="105" w:type="dxa"/>
            </w:tcMar>
            <w:vAlign w:val="center"/>
          </w:tcPr>
          <w:p w14:paraId="2DA329F3"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12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F4" w14:textId="77777777" w:rsidR="0083004B" w:rsidRDefault="0083004B">
            <w:pPr>
              <w:spacing w:line="276" w:lineRule="auto"/>
              <w:jc w:val="center"/>
              <w:rPr>
                <w:rFonts w:ascii="Garamond" w:eastAsia="Garamond" w:hAnsi="Garamond" w:cs="Garamond"/>
                <w:color w:val="000000"/>
                <w:sz w:val="20"/>
                <w:szCs w:val="20"/>
              </w:rPr>
            </w:pPr>
          </w:p>
          <w:p w14:paraId="2DA329F5"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1 kilometer (km)</w:t>
            </w:r>
          </w:p>
        </w:tc>
      </w:tr>
      <w:tr w:rsidR="0083004B" w14:paraId="2DA329FE" w14:textId="77777777" w:rsidTr="1BD6A8E9">
        <w:trPr>
          <w:trHeight w:val="930"/>
        </w:trPr>
        <w:tc>
          <w:tcPr>
            <w:tcW w:w="114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F7" w14:textId="77777777" w:rsidR="0083004B" w:rsidRDefault="00E14A9E">
            <w:pPr>
              <w:jc w:val="center"/>
            </w:pPr>
            <w:r>
              <w:rPr>
                <w:rFonts w:ascii="Garamond" w:eastAsia="Garamond" w:hAnsi="Garamond" w:cs="Garamond"/>
                <w:color w:val="000000"/>
                <w:sz w:val="20"/>
                <w:szCs w:val="20"/>
              </w:rPr>
              <w:t>Aqua</w:t>
            </w:r>
          </w:p>
        </w:tc>
        <w:tc>
          <w:tcPr>
            <w:tcW w:w="146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F8" w14:textId="77777777" w:rsidR="0083004B" w:rsidRDefault="00E14A9E">
            <w:pPr>
              <w:jc w:val="center"/>
            </w:pPr>
            <w:r>
              <w:rPr>
                <w:rFonts w:ascii="Garamond" w:eastAsia="Garamond" w:hAnsi="Garamond" w:cs="Garamond"/>
                <w:color w:val="000000"/>
                <w:sz w:val="20"/>
                <w:szCs w:val="20"/>
              </w:rPr>
              <w:t>MODIS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F9" w14:textId="77777777" w:rsidR="0083004B" w:rsidRDefault="00E14A9E">
            <w:pPr>
              <w:jc w:val="center"/>
              <w:rPr>
                <w:rFonts w:ascii="Garamond" w:eastAsia="Garamond" w:hAnsi="Garamond" w:cs="Garamond"/>
              </w:rPr>
            </w:pPr>
            <w:r>
              <w:rPr>
                <w:rFonts w:ascii="Garamond" w:eastAsia="Garamond" w:hAnsi="Garamond" w:cs="Garamond"/>
              </w:rPr>
              <w:t>MYD09A1 Version 6.1 Surface Reflectance Product</w:t>
            </w:r>
          </w:p>
        </w:tc>
        <w:tc>
          <w:tcPr>
            <w:tcW w:w="11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FA" w14:textId="77777777" w:rsidR="0083004B" w:rsidRDefault="00E14A9E">
            <w:pPr>
              <w:jc w:val="center"/>
            </w:pPr>
            <w:r>
              <w:rPr>
                <w:rFonts w:ascii="Garamond" w:eastAsia="Garamond" w:hAnsi="Garamond" w:cs="Garamond"/>
                <w:sz w:val="20"/>
                <w:szCs w:val="20"/>
              </w:rPr>
              <w:t>NDWI</w:t>
            </w:r>
          </w:p>
        </w:tc>
        <w:tc>
          <w:tcPr>
            <w:tcW w:w="1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FB" w14:textId="77777777" w:rsidR="0083004B" w:rsidRDefault="00E14A9E">
            <w:pPr>
              <w:jc w:val="center"/>
              <w:rPr>
                <w:rFonts w:ascii="Garamond" w:eastAsia="Garamond" w:hAnsi="Garamond" w:cs="Garamond"/>
                <w:color w:val="000000"/>
                <w:sz w:val="20"/>
                <w:szCs w:val="20"/>
              </w:rPr>
            </w:pPr>
            <w:r>
              <w:rPr>
                <w:rFonts w:ascii="Garamond" w:eastAsia="Garamond" w:hAnsi="Garamond" w:cs="Garamond"/>
                <w:color w:val="000000"/>
                <w:sz w:val="20"/>
                <w:szCs w:val="20"/>
              </w:rPr>
              <w:t>June 15th- October 15th from 2013 – 2023</w:t>
            </w:r>
          </w:p>
        </w:tc>
        <w:tc>
          <w:tcPr>
            <w:tcW w:w="1288" w:type="dxa"/>
            <w:vMerge/>
            <w:tcMar>
              <w:left w:w="105" w:type="dxa"/>
              <w:right w:w="105" w:type="dxa"/>
            </w:tcMar>
            <w:vAlign w:val="center"/>
          </w:tcPr>
          <w:p w14:paraId="2DA329FC"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121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329FD" w14:textId="77777777" w:rsidR="0083004B" w:rsidRDefault="00E14A9E">
            <w:pPr>
              <w:spacing w:line="276" w:lineRule="auto"/>
              <w:jc w:val="center"/>
              <w:rPr>
                <w:rFonts w:ascii="Garamond" w:eastAsia="Garamond" w:hAnsi="Garamond" w:cs="Garamond"/>
                <w:sz w:val="20"/>
                <w:szCs w:val="20"/>
              </w:rPr>
            </w:pPr>
            <w:r>
              <w:rPr>
                <w:rFonts w:ascii="Garamond" w:eastAsia="Garamond" w:hAnsi="Garamond" w:cs="Garamond"/>
                <w:sz w:val="20"/>
                <w:szCs w:val="20"/>
              </w:rPr>
              <w:t>500-meter</w:t>
            </w:r>
          </w:p>
        </w:tc>
      </w:tr>
    </w:tbl>
    <w:p w14:paraId="2DA329FF" w14:textId="77777777" w:rsidR="0083004B" w:rsidRDefault="0083004B">
      <w:pPr>
        <w:spacing w:after="0" w:line="240" w:lineRule="auto"/>
        <w:rPr>
          <w:rFonts w:ascii="Garamond" w:eastAsia="Garamond" w:hAnsi="Garamond" w:cs="Garamond"/>
          <w:color w:val="000000"/>
        </w:rPr>
      </w:pPr>
    </w:p>
    <w:p w14:paraId="2DA32A00" w14:textId="77777777" w:rsidR="0083004B" w:rsidRDefault="0083004B">
      <w:pPr>
        <w:spacing w:after="0" w:line="240" w:lineRule="auto"/>
        <w:rPr>
          <w:rFonts w:ascii="Garamond" w:eastAsia="Garamond" w:hAnsi="Garamond" w:cs="Garamond"/>
          <w:i/>
        </w:rPr>
      </w:pPr>
    </w:p>
    <w:p w14:paraId="285473B6" w14:textId="77777777" w:rsidR="00CC7EF2" w:rsidRDefault="00CC7EF2">
      <w:pPr>
        <w:spacing w:after="0" w:line="240" w:lineRule="auto"/>
        <w:rPr>
          <w:rFonts w:ascii="Garamond" w:eastAsia="Garamond" w:hAnsi="Garamond" w:cs="Garamond"/>
          <w:i/>
        </w:rPr>
      </w:pPr>
    </w:p>
    <w:p w14:paraId="38783185" w14:textId="77777777" w:rsidR="00CC7EF2" w:rsidRDefault="00CC7EF2">
      <w:pPr>
        <w:spacing w:after="0" w:line="240" w:lineRule="auto"/>
        <w:rPr>
          <w:rFonts w:ascii="Garamond" w:eastAsia="Garamond" w:hAnsi="Garamond" w:cs="Garamond"/>
          <w:i/>
        </w:rPr>
      </w:pPr>
    </w:p>
    <w:p w14:paraId="2DA32A01" w14:textId="4AE7C4DD" w:rsidR="0083004B" w:rsidRDefault="00E14A9E">
      <w:pPr>
        <w:spacing w:after="0" w:line="240" w:lineRule="auto"/>
        <w:rPr>
          <w:rFonts w:ascii="Garamond" w:eastAsia="Garamond" w:hAnsi="Garamond" w:cs="Garamond"/>
          <w:b/>
          <w:i/>
        </w:rPr>
      </w:pPr>
      <w:r>
        <w:rPr>
          <w:rFonts w:ascii="Garamond" w:eastAsia="Garamond" w:hAnsi="Garamond" w:cs="Garamond"/>
          <w:i/>
        </w:rPr>
        <w:t>3.1.2 HVI and Bus User Data Acquisition</w:t>
      </w:r>
    </w:p>
    <w:p w14:paraId="2DA32A02" w14:textId="77777777" w:rsidR="0083004B" w:rsidRDefault="00E14A9E">
      <w:pPr>
        <w:spacing w:after="0" w:line="240" w:lineRule="auto"/>
        <w:rPr>
          <w:rFonts w:ascii="Garamond" w:eastAsia="Garamond" w:hAnsi="Garamond" w:cs="Garamond"/>
          <w:color w:val="000000"/>
        </w:rPr>
      </w:pPr>
      <w:r>
        <w:rPr>
          <w:rFonts w:ascii="Garamond" w:eastAsia="Garamond" w:hAnsi="Garamond" w:cs="Garamond"/>
        </w:rPr>
        <w:t xml:space="preserve">We acquired a range of ancillary datasets to develop a Heat Vulnerability Index, Heat Exposure Index, and a Heat Priority Index that both captures the unique social and environmental context of Baltimore City and County. </w:t>
      </w:r>
      <w:r>
        <w:rPr>
          <w:rFonts w:ascii="Garamond" w:eastAsia="Garamond" w:hAnsi="Garamond" w:cs="Garamond"/>
          <w:color w:val="000000"/>
        </w:rPr>
        <w:t xml:space="preserve">The partners provided a geodatabase with MTA bus stop and bus route data, which was accessed via ArcGIS Pro 3.2.0. </w:t>
      </w:r>
      <w:r>
        <w:rPr>
          <w:rFonts w:ascii="Garamond" w:eastAsia="Garamond" w:hAnsi="Garamond" w:cs="Garamond"/>
        </w:rPr>
        <w:t xml:space="preserve">We collected socioeconomic data at the block group level for several variables (Table 2) via the US Census Bureau’s American Community Survey (ACS) accessed through RStudio 4.3.3 using the </w:t>
      </w:r>
      <w:proofErr w:type="spellStart"/>
      <w:r>
        <w:rPr>
          <w:rFonts w:ascii="Garamond" w:eastAsia="Garamond" w:hAnsi="Garamond" w:cs="Garamond"/>
        </w:rPr>
        <w:t>Tidycensus</w:t>
      </w:r>
      <w:proofErr w:type="spellEnd"/>
      <w:r>
        <w:rPr>
          <w:rFonts w:ascii="Garamond" w:eastAsia="Garamond" w:hAnsi="Garamond" w:cs="Garamond"/>
        </w:rPr>
        <w:t xml:space="preserve"> package. We chose population density, ethnic minority, poverty, ages 65 and over, and adults without a high school diploma for analysis in conjunction with literature on assessing heat vulnerability (Cutter et al., 2003). </w:t>
      </w:r>
    </w:p>
    <w:p w14:paraId="2DA32A03" w14:textId="77777777" w:rsidR="0083004B" w:rsidRDefault="0083004B">
      <w:pPr>
        <w:spacing w:after="0" w:line="240" w:lineRule="auto"/>
        <w:rPr>
          <w:rFonts w:ascii="Garamond" w:eastAsia="Garamond" w:hAnsi="Garamond" w:cs="Garamond"/>
        </w:rPr>
      </w:pPr>
    </w:p>
    <w:p w14:paraId="2DA32A04" w14:textId="77777777" w:rsidR="0083004B" w:rsidRDefault="00E14A9E">
      <w:pPr>
        <w:spacing w:after="0" w:line="240" w:lineRule="auto"/>
        <w:rPr>
          <w:rFonts w:ascii="Garamond" w:eastAsia="Garamond" w:hAnsi="Garamond" w:cs="Garamond"/>
        </w:rPr>
      </w:pPr>
      <w:r>
        <w:rPr>
          <w:rFonts w:ascii="Garamond" w:eastAsia="Garamond" w:hAnsi="Garamond" w:cs="Garamond"/>
        </w:rPr>
        <w:t>Table 2</w:t>
      </w:r>
    </w:p>
    <w:p w14:paraId="2DA32A05" w14:textId="77777777" w:rsidR="0083004B" w:rsidRDefault="00E14A9E">
      <w:pPr>
        <w:spacing w:after="0" w:line="240" w:lineRule="auto"/>
        <w:rPr>
          <w:rFonts w:ascii="Garamond" w:eastAsia="Garamond" w:hAnsi="Garamond" w:cs="Garamond"/>
        </w:rPr>
      </w:pPr>
      <w:r>
        <w:rPr>
          <w:rFonts w:ascii="Garamond" w:eastAsia="Garamond" w:hAnsi="Garamond" w:cs="Garamond"/>
          <w:i/>
        </w:rPr>
        <w:t>Ancillary datasets collected for constructing heat vulnerability index (HVI)</w:t>
      </w:r>
    </w:p>
    <w:tbl>
      <w:tblPr>
        <w:tblW w:w="9501"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870"/>
        <w:gridCol w:w="1710"/>
        <w:gridCol w:w="990"/>
        <w:gridCol w:w="1260"/>
        <w:gridCol w:w="1350"/>
        <w:gridCol w:w="1321"/>
      </w:tblGrid>
      <w:tr w:rsidR="0083004B" w14:paraId="2DA32A0C" w14:textId="77777777">
        <w:trPr>
          <w:trHeight w:val="300"/>
        </w:trPr>
        <w:tc>
          <w:tcPr>
            <w:tcW w:w="2870" w:type="dxa"/>
            <w:tcBorders>
              <w:top w:val="single" w:sz="8" w:space="0" w:color="000000"/>
              <w:left w:val="single" w:sz="8" w:space="0" w:color="000000"/>
              <w:bottom w:val="single" w:sz="8" w:space="0" w:color="000000"/>
              <w:right w:val="single" w:sz="8" w:space="0" w:color="000000"/>
            </w:tcBorders>
          </w:tcPr>
          <w:p w14:paraId="2DA32A06" w14:textId="77777777" w:rsidR="0083004B" w:rsidRDefault="00E14A9E">
            <w:pPr>
              <w:spacing w:after="0" w:line="276" w:lineRule="auto"/>
              <w:ind w:left="-20" w:right="-20"/>
              <w:jc w:val="center"/>
              <w:rPr>
                <w:rFonts w:ascii="Garamond" w:eastAsia="Garamond" w:hAnsi="Garamond" w:cs="Garamond"/>
                <w:b/>
              </w:rPr>
            </w:pPr>
            <w:r>
              <w:rPr>
                <w:rFonts w:ascii="Garamond" w:eastAsia="Garamond" w:hAnsi="Garamond" w:cs="Garamond"/>
                <w:b/>
              </w:rPr>
              <w:t>Dataset</w:t>
            </w:r>
          </w:p>
        </w:tc>
        <w:tc>
          <w:tcPr>
            <w:tcW w:w="1710" w:type="dxa"/>
            <w:tcBorders>
              <w:top w:val="single" w:sz="8" w:space="0" w:color="000000"/>
              <w:left w:val="single" w:sz="8" w:space="0" w:color="000000"/>
              <w:bottom w:val="single" w:sz="8" w:space="0" w:color="000000"/>
              <w:right w:val="single" w:sz="8" w:space="0" w:color="000000"/>
            </w:tcBorders>
          </w:tcPr>
          <w:p w14:paraId="2DA32A07" w14:textId="77777777" w:rsidR="0083004B" w:rsidRDefault="00E14A9E">
            <w:pPr>
              <w:spacing w:line="276" w:lineRule="auto"/>
              <w:jc w:val="center"/>
              <w:rPr>
                <w:rFonts w:ascii="Garamond" w:eastAsia="Garamond" w:hAnsi="Garamond" w:cs="Garamond"/>
                <w:b/>
              </w:rPr>
            </w:pPr>
            <w:r>
              <w:rPr>
                <w:rFonts w:ascii="Garamond" w:eastAsia="Garamond" w:hAnsi="Garamond" w:cs="Garamond"/>
                <w:b/>
              </w:rPr>
              <w:t>Variable Name</w:t>
            </w:r>
          </w:p>
        </w:tc>
        <w:tc>
          <w:tcPr>
            <w:tcW w:w="990" w:type="dxa"/>
            <w:tcBorders>
              <w:top w:val="single" w:sz="8" w:space="0" w:color="000000"/>
              <w:left w:val="single" w:sz="8" w:space="0" w:color="000000"/>
              <w:bottom w:val="single" w:sz="8" w:space="0" w:color="000000"/>
              <w:right w:val="single" w:sz="8" w:space="0" w:color="000000"/>
            </w:tcBorders>
          </w:tcPr>
          <w:p w14:paraId="2DA32A08" w14:textId="77777777" w:rsidR="0083004B" w:rsidRDefault="00E14A9E">
            <w:pPr>
              <w:spacing w:after="200" w:line="276" w:lineRule="auto"/>
              <w:ind w:left="-20" w:right="-20"/>
              <w:jc w:val="center"/>
              <w:rPr>
                <w:rFonts w:ascii="Garamond" w:eastAsia="Garamond" w:hAnsi="Garamond" w:cs="Garamond"/>
                <w:b/>
              </w:rPr>
            </w:pPr>
            <w:r>
              <w:rPr>
                <w:rFonts w:ascii="Garamond" w:eastAsia="Garamond" w:hAnsi="Garamond" w:cs="Garamond"/>
                <w:b/>
              </w:rPr>
              <w:t>Source</w:t>
            </w:r>
          </w:p>
        </w:tc>
        <w:tc>
          <w:tcPr>
            <w:tcW w:w="1260" w:type="dxa"/>
            <w:tcBorders>
              <w:top w:val="single" w:sz="8" w:space="0" w:color="000000"/>
              <w:left w:val="single" w:sz="8" w:space="0" w:color="000000"/>
              <w:bottom w:val="single" w:sz="8" w:space="0" w:color="000000"/>
              <w:right w:val="single" w:sz="8" w:space="0" w:color="000000"/>
            </w:tcBorders>
          </w:tcPr>
          <w:p w14:paraId="2DA32A09" w14:textId="77777777" w:rsidR="0083004B" w:rsidRDefault="00E14A9E">
            <w:pPr>
              <w:spacing w:after="200" w:line="276" w:lineRule="auto"/>
              <w:ind w:left="-20" w:right="-20"/>
              <w:jc w:val="center"/>
              <w:rPr>
                <w:rFonts w:ascii="Garamond" w:eastAsia="Garamond" w:hAnsi="Garamond" w:cs="Garamond"/>
                <w:b/>
              </w:rPr>
            </w:pPr>
            <w:r>
              <w:rPr>
                <w:rFonts w:ascii="Garamond" w:eastAsia="Garamond" w:hAnsi="Garamond" w:cs="Garamond"/>
                <w:b/>
              </w:rPr>
              <w:t>Geography</w:t>
            </w:r>
          </w:p>
        </w:tc>
        <w:tc>
          <w:tcPr>
            <w:tcW w:w="1350" w:type="dxa"/>
            <w:tcBorders>
              <w:top w:val="single" w:sz="8" w:space="0" w:color="000000"/>
              <w:left w:val="single" w:sz="8" w:space="0" w:color="000000"/>
              <w:bottom w:val="single" w:sz="8" w:space="0" w:color="000000"/>
              <w:right w:val="single" w:sz="8" w:space="0" w:color="000000"/>
            </w:tcBorders>
          </w:tcPr>
          <w:p w14:paraId="2DA32A0A" w14:textId="77777777" w:rsidR="0083004B" w:rsidRDefault="00E14A9E">
            <w:pPr>
              <w:spacing w:after="200" w:line="276" w:lineRule="auto"/>
              <w:ind w:left="-20" w:right="-20"/>
              <w:jc w:val="center"/>
              <w:rPr>
                <w:rFonts w:ascii="Garamond" w:eastAsia="Garamond" w:hAnsi="Garamond" w:cs="Garamond"/>
                <w:b/>
              </w:rPr>
            </w:pPr>
            <w:r>
              <w:rPr>
                <w:rFonts w:ascii="Garamond" w:eastAsia="Garamond" w:hAnsi="Garamond" w:cs="Garamond"/>
                <w:b/>
              </w:rPr>
              <w:t>Year(s)</w:t>
            </w:r>
          </w:p>
        </w:tc>
        <w:tc>
          <w:tcPr>
            <w:tcW w:w="1321" w:type="dxa"/>
            <w:tcBorders>
              <w:top w:val="single" w:sz="8" w:space="0" w:color="000000"/>
              <w:left w:val="single" w:sz="8" w:space="0" w:color="000000"/>
              <w:bottom w:val="single" w:sz="8" w:space="0" w:color="000000"/>
              <w:right w:val="single" w:sz="8" w:space="0" w:color="000000"/>
            </w:tcBorders>
          </w:tcPr>
          <w:p w14:paraId="2DA32A0B" w14:textId="77777777" w:rsidR="0083004B" w:rsidRDefault="00E14A9E">
            <w:pPr>
              <w:spacing w:after="0"/>
              <w:ind w:left="-20" w:right="-20"/>
              <w:jc w:val="center"/>
              <w:rPr>
                <w:rFonts w:ascii="Garamond" w:eastAsia="Garamond" w:hAnsi="Garamond" w:cs="Garamond"/>
                <w:b/>
              </w:rPr>
            </w:pPr>
            <w:r>
              <w:rPr>
                <w:rFonts w:ascii="Garamond" w:eastAsia="Garamond" w:hAnsi="Garamond" w:cs="Garamond"/>
                <w:b/>
              </w:rPr>
              <w:t>Data Type</w:t>
            </w:r>
          </w:p>
        </w:tc>
      </w:tr>
      <w:tr w:rsidR="0083004B" w14:paraId="2DA32A13" w14:textId="77777777">
        <w:trPr>
          <w:trHeight w:val="300"/>
        </w:trPr>
        <w:tc>
          <w:tcPr>
            <w:tcW w:w="2870" w:type="dxa"/>
            <w:tcBorders>
              <w:top w:val="single" w:sz="8" w:space="0" w:color="000000"/>
              <w:left w:val="single" w:sz="8" w:space="0" w:color="000000"/>
              <w:bottom w:val="single" w:sz="8" w:space="0" w:color="000000"/>
              <w:right w:val="single" w:sz="8" w:space="0" w:color="000000"/>
            </w:tcBorders>
          </w:tcPr>
          <w:p w14:paraId="2DA32A0D" w14:textId="77777777" w:rsidR="0083004B" w:rsidRDefault="00E14A9E">
            <w:pPr>
              <w:spacing w:line="276" w:lineRule="auto"/>
              <w:jc w:val="center"/>
              <w:rPr>
                <w:rFonts w:ascii="Garamond" w:eastAsia="Garamond" w:hAnsi="Garamond" w:cs="Garamond"/>
              </w:rPr>
            </w:pPr>
            <w:r>
              <w:rPr>
                <w:rFonts w:ascii="Garamond" w:eastAsia="Garamond" w:hAnsi="Garamond" w:cs="Garamond"/>
              </w:rPr>
              <w:t>Baltimore City and Baltimore County Shapefile</w:t>
            </w:r>
          </w:p>
        </w:tc>
        <w:tc>
          <w:tcPr>
            <w:tcW w:w="1710" w:type="dxa"/>
            <w:tcBorders>
              <w:top w:val="single" w:sz="8" w:space="0" w:color="000000"/>
              <w:left w:val="single" w:sz="8" w:space="0" w:color="000000"/>
              <w:bottom w:val="single" w:sz="8" w:space="0" w:color="000000"/>
              <w:right w:val="single" w:sz="8" w:space="0" w:color="000000"/>
            </w:tcBorders>
          </w:tcPr>
          <w:p w14:paraId="2DA32A0E" w14:textId="77777777" w:rsidR="0083004B" w:rsidRDefault="00E14A9E">
            <w:pPr>
              <w:spacing w:line="276" w:lineRule="auto"/>
              <w:jc w:val="center"/>
              <w:rPr>
                <w:rFonts w:ascii="Garamond" w:eastAsia="Garamond" w:hAnsi="Garamond" w:cs="Garamond"/>
              </w:rPr>
            </w:pPr>
            <w:r>
              <w:rPr>
                <w:rFonts w:ascii="Garamond" w:eastAsia="Garamond" w:hAnsi="Garamond" w:cs="Garamond"/>
              </w:rPr>
              <w:t>Transit</w:t>
            </w:r>
          </w:p>
        </w:tc>
        <w:tc>
          <w:tcPr>
            <w:tcW w:w="990" w:type="dxa"/>
            <w:tcBorders>
              <w:top w:val="single" w:sz="8" w:space="0" w:color="000000"/>
              <w:left w:val="single" w:sz="8" w:space="0" w:color="000000"/>
              <w:bottom w:val="single" w:sz="8" w:space="0" w:color="000000"/>
              <w:right w:val="single" w:sz="8" w:space="0" w:color="000000"/>
            </w:tcBorders>
          </w:tcPr>
          <w:p w14:paraId="2DA32A0F" w14:textId="77777777" w:rsidR="0083004B" w:rsidRDefault="00E14A9E">
            <w:pPr>
              <w:spacing w:line="276" w:lineRule="auto"/>
              <w:jc w:val="center"/>
              <w:rPr>
                <w:rFonts w:ascii="Garamond" w:eastAsia="Garamond" w:hAnsi="Garamond" w:cs="Garamond"/>
              </w:rPr>
            </w:pPr>
            <w:r>
              <w:rPr>
                <w:rFonts w:ascii="Garamond" w:eastAsia="Garamond" w:hAnsi="Garamond" w:cs="Garamond"/>
              </w:rPr>
              <w:t>MTA</w:t>
            </w:r>
          </w:p>
        </w:tc>
        <w:tc>
          <w:tcPr>
            <w:tcW w:w="1260" w:type="dxa"/>
            <w:tcBorders>
              <w:top w:val="single" w:sz="8" w:space="0" w:color="000000"/>
              <w:left w:val="single" w:sz="8" w:space="0" w:color="000000"/>
              <w:bottom w:val="single" w:sz="8" w:space="0" w:color="000000"/>
              <w:right w:val="single" w:sz="8" w:space="0" w:color="000000"/>
            </w:tcBorders>
          </w:tcPr>
          <w:p w14:paraId="2DA32A10" w14:textId="77777777" w:rsidR="0083004B" w:rsidRDefault="00E14A9E">
            <w:pPr>
              <w:spacing w:line="276" w:lineRule="auto"/>
              <w:jc w:val="center"/>
              <w:rPr>
                <w:rFonts w:ascii="Garamond" w:eastAsia="Garamond" w:hAnsi="Garamond" w:cs="Garamond"/>
              </w:rPr>
            </w:pPr>
            <w:r>
              <w:rPr>
                <w:rFonts w:ascii="Garamond" w:eastAsia="Garamond" w:hAnsi="Garamond" w:cs="Garamond"/>
              </w:rPr>
              <w:t>Block Group</w:t>
            </w:r>
          </w:p>
        </w:tc>
        <w:tc>
          <w:tcPr>
            <w:tcW w:w="1350" w:type="dxa"/>
            <w:tcBorders>
              <w:top w:val="single" w:sz="8" w:space="0" w:color="000000"/>
              <w:left w:val="single" w:sz="8" w:space="0" w:color="000000"/>
              <w:bottom w:val="single" w:sz="8" w:space="0" w:color="000000"/>
              <w:right w:val="single" w:sz="8" w:space="0" w:color="000000"/>
            </w:tcBorders>
          </w:tcPr>
          <w:p w14:paraId="2DA32A11" w14:textId="77777777" w:rsidR="0083004B" w:rsidRDefault="00E14A9E">
            <w:pPr>
              <w:spacing w:line="276" w:lineRule="auto"/>
              <w:jc w:val="center"/>
              <w:rPr>
                <w:rFonts w:ascii="Garamond" w:eastAsia="Garamond" w:hAnsi="Garamond" w:cs="Garamond"/>
              </w:rPr>
            </w:pPr>
            <w:r>
              <w:rPr>
                <w:rFonts w:ascii="Garamond" w:eastAsia="Garamond" w:hAnsi="Garamond" w:cs="Garamond"/>
              </w:rPr>
              <w:t>2023</w:t>
            </w:r>
          </w:p>
        </w:tc>
        <w:tc>
          <w:tcPr>
            <w:tcW w:w="1321" w:type="dxa"/>
            <w:tcBorders>
              <w:top w:val="single" w:sz="8" w:space="0" w:color="000000"/>
              <w:left w:val="single" w:sz="8" w:space="0" w:color="000000"/>
              <w:bottom w:val="single" w:sz="8" w:space="0" w:color="000000"/>
              <w:right w:val="single" w:sz="8" w:space="0" w:color="000000"/>
            </w:tcBorders>
          </w:tcPr>
          <w:p w14:paraId="2DA32A12" w14:textId="77777777" w:rsidR="0083004B" w:rsidRDefault="00E14A9E">
            <w:pPr>
              <w:jc w:val="center"/>
              <w:rPr>
                <w:rFonts w:ascii="Garamond" w:eastAsia="Garamond" w:hAnsi="Garamond" w:cs="Garamond"/>
              </w:rPr>
            </w:pPr>
            <w:r>
              <w:rPr>
                <w:rFonts w:ascii="Garamond" w:eastAsia="Garamond" w:hAnsi="Garamond" w:cs="Garamond"/>
              </w:rPr>
              <w:t>Shapefile (.</w:t>
            </w:r>
            <w:proofErr w:type="spellStart"/>
            <w:r>
              <w:rPr>
                <w:rFonts w:ascii="Garamond" w:eastAsia="Garamond" w:hAnsi="Garamond" w:cs="Garamond"/>
              </w:rPr>
              <w:t>shp</w:t>
            </w:r>
            <w:proofErr w:type="spellEnd"/>
            <w:r>
              <w:rPr>
                <w:rFonts w:ascii="Garamond" w:eastAsia="Garamond" w:hAnsi="Garamond" w:cs="Garamond"/>
              </w:rPr>
              <w:t>)</w:t>
            </w:r>
          </w:p>
        </w:tc>
      </w:tr>
      <w:tr w:rsidR="0083004B" w14:paraId="2DA32A1C" w14:textId="77777777">
        <w:trPr>
          <w:trHeight w:val="585"/>
        </w:trPr>
        <w:tc>
          <w:tcPr>
            <w:tcW w:w="2870" w:type="dxa"/>
            <w:tcBorders>
              <w:top w:val="single" w:sz="8" w:space="0" w:color="000000"/>
              <w:left w:val="single" w:sz="8" w:space="0" w:color="000000"/>
              <w:bottom w:val="single" w:sz="8" w:space="0" w:color="000000"/>
              <w:right w:val="single" w:sz="8" w:space="0" w:color="000000"/>
            </w:tcBorders>
            <w:vAlign w:val="center"/>
          </w:tcPr>
          <w:p w14:paraId="2DA32A14" w14:textId="77777777" w:rsidR="0083004B" w:rsidRDefault="00E14A9E">
            <w:pPr>
              <w:keepNext/>
              <w:keepLines/>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Total Population </w:t>
            </w:r>
          </w:p>
          <w:p w14:paraId="2DA32A15" w14:textId="77777777" w:rsidR="0083004B" w:rsidRDefault="00E14A9E">
            <w:pPr>
              <w:keepNext/>
              <w:keepLines/>
              <w:spacing w:after="0"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(Table B01003)</w:t>
            </w:r>
          </w:p>
        </w:tc>
        <w:tc>
          <w:tcPr>
            <w:tcW w:w="1710" w:type="dxa"/>
            <w:tcBorders>
              <w:top w:val="single" w:sz="8" w:space="0" w:color="000000"/>
              <w:left w:val="single" w:sz="8" w:space="0" w:color="000000"/>
              <w:bottom w:val="single" w:sz="8" w:space="0" w:color="000000"/>
              <w:right w:val="single" w:sz="8" w:space="0" w:color="000000"/>
            </w:tcBorders>
            <w:vAlign w:val="center"/>
          </w:tcPr>
          <w:p w14:paraId="2DA32A16" w14:textId="77777777" w:rsidR="0083004B" w:rsidRDefault="00E14A9E">
            <w:pPr>
              <w:jc w:val="center"/>
              <w:rPr>
                <w:rFonts w:ascii="Garamond" w:eastAsia="Garamond" w:hAnsi="Garamond" w:cs="Garamond"/>
                <w:color w:val="000000"/>
                <w:sz w:val="20"/>
                <w:szCs w:val="20"/>
              </w:rPr>
            </w:pPr>
            <w:r>
              <w:rPr>
                <w:rFonts w:ascii="Garamond" w:eastAsia="Garamond" w:hAnsi="Garamond" w:cs="Garamond"/>
                <w:color w:val="000000"/>
                <w:sz w:val="20"/>
                <w:szCs w:val="20"/>
              </w:rPr>
              <w:t>Population</w:t>
            </w:r>
          </w:p>
        </w:tc>
        <w:tc>
          <w:tcPr>
            <w:tcW w:w="990" w:type="dxa"/>
            <w:vMerge w:val="restart"/>
            <w:tcBorders>
              <w:top w:val="single" w:sz="8" w:space="0" w:color="000000"/>
              <w:left w:val="single" w:sz="8" w:space="0" w:color="000000"/>
              <w:bottom w:val="single" w:sz="4" w:space="0" w:color="000000"/>
              <w:right w:val="single" w:sz="8" w:space="0" w:color="000000"/>
            </w:tcBorders>
            <w:vAlign w:val="center"/>
          </w:tcPr>
          <w:p w14:paraId="2DA32A17" w14:textId="77777777" w:rsidR="0083004B" w:rsidRDefault="00E14A9E">
            <w:pPr>
              <w:spacing w:after="0"/>
              <w:ind w:right="-20"/>
              <w:jc w:val="center"/>
              <w:rPr>
                <w:rFonts w:ascii="Garamond" w:eastAsia="Garamond" w:hAnsi="Garamond" w:cs="Garamond"/>
                <w:color w:val="000000"/>
                <w:sz w:val="20"/>
                <w:szCs w:val="20"/>
              </w:rPr>
            </w:pPr>
            <w:r>
              <w:rPr>
                <w:rFonts w:ascii="Garamond" w:eastAsia="Garamond" w:hAnsi="Garamond" w:cs="Garamond"/>
                <w:color w:val="000000"/>
                <w:sz w:val="20"/>
                <w:szCs w:val="20"/>
              </w:rPr>
              <w:t>U.S. Census Bureau, ACS</w:t>
            </w:r>
          </w:p>
        </w:tc>
        <w:tc>
          <w:tcPr>
            <w:tcW w:w="1260" w:type="dxa"/>
            <w:vMerge w:val="restart"/>
            <w:tcBorders>
              <w:top w:val="single" w:sz="8" w:space="0" w:color="000000"/>
              <w:left w:val="single" w:sz="8" w:space="0" w:color="000000"/>
              <w:bottom w:val="single" w:sz="4" w:space="0" w:color="000000"/>
              <w:right w:val="single" w:sz="8" w:space="0" w:color="000000"/>
            </w:tcBorders>
            <w:vAlign w:val="center"/>
          </w:tcPr>
          <w:p w14:paraId="2DA32A18" w14:textId="77777777" w:rsidR="0083004B" w:rsidRDefault="00E14A9E">
            <w:pPr>
              <w:spacing w:after="0"/>
              <w:ind w:right="-20"/>
              <w:jc w:val="center"/>
              <w:rPr>
                <w:rFonts w:ascii="Garamond" w:eastAsia="Garamond" w:hAnsi="Garamond" w:cs="Garamond"/>
                <w:sz w:val="20"/>
                <w:szCs w:val="20"/>
              </w:rPr>
            </w:pPr>
            <w:r>
              <w:rPr>
                <w:rFonts w:ascii="Garamond" w:eastAsia="Garamond" w:hAnsi="Garamond" w:cs="Garamond"/>
                <w:color w:val="000000"/>
                <w:sz w:val="20"/>
                <w:szCs w:val="20"/>
              </w:rPr>
              <w:t>Block Group</w:t>
            </w:r>
          </w:p>
        </w:tc>
        <w:tc>
          <w:tcPr>
            <w:tcW w:w="1350" w:type="dxa"/>
            <w:vMerge w:val="restart"/>
            <w:tcBorders>
              <w:top w:val="single" w:sz="8" w:space="0" w:color="000000"/>
              <w:left w:val="single" w:sz="8" w:space="0" w:color="000000"/>
              <w:bottom w:val="single" w:sz="4" w:space="0" w:color="000000"/>
              <w:right w:val="single" w:sz="8" w:space="0" w:color="000000"/>
            </w:tcBorders>
            <w:vAlign w:val="center"/>
          </w:tcPr>
          <w:p w14:paraId="2DA32A19" w14:textId="77777777" w:rsidR="0083004B" w:rsidRDefault="00E14A9E">
            <w:pPr>
              <w:spacing w:after="0"/>
              <w:ind w:left="-20" w:right="-20"/>
              <w:jc w:val="center"/>
              <w:rPr>
                <w:rFonts w:ascii="Garamond" w:eastAsia="Garamond" w:hAnsi="Garamond" w:cs="Garamond"/>
                <w:sz w:val="20"/>
                <w:szCs w:val="20"/>
              </w:rPr>
            </w:pPr>
            <w:r>
              <w:rPr>
                <w:rFonts w:ascii="Garamond" w:eastAsia="Garamond" w:hAnsi="Garamond" w:cs="Garamond"/>
                <w:sz w:val="20"/>
                <w:szCs w:val="20"/>
              </w:rPr>
              <w:t>5-Year Estimates</w:t>
            </w:r>
          </w:p>
          <w:p w14:paraId="2DA32A1A" w14:textId="77777777" w:rsidR="0083004B" w:rsidRDefault="00E14A9E">
            <w:pPr>
              <w:spacing w:after="0"/>
              <w:ind w:left="-20" w:right="-20"/>
              <w:jc w:val="center"/>
              <w:rPr>
                <w:rFonts w:ascii="Garamond" w:eastAsia="Garamond" w:hAnsi="Garamond" w:cs="Garamond"/>
                <w:sz w:val="20"/>
                <w:szCs w:val="20"/>
              </w:rPr>
            </w:pPr>
            <w:r>
              <w:rPr>
                <w:rFonts w:ascii="Garamond" w:eastAsia="Garamond" w:hAnsi="Garamond" w:cs="Garamond"/>
                <w:sz w:val="20"/>
                <w:szCs w:val="20"/>
              </w:rPr>
              <w:t>2018 – 2022</w:t>
            </w:r>
          </w:p>
        </w:tc>
        <w:tc>
          <w:tcPr>
            <w:tcW w:w="1321" w:type="dxa"/>
            <w:vMerge w:val="restart"/>
            <w:tcBorders>
              <w:top w:val="single" w:sz="8" w:space="0" w:color="000000"/>
              <w:left w:val="single" w:sz="8" w:space="0" w:color="000000"/>
              <w:bottom w:val="single" w:sz="4" w:space="0" w:color="000000"/>
              <w:right w:val="single" w:sz="8" w:space="0" w:color="000000"/>
            </w:tcBorders>
            <w:vAlign w:val="center"/>
          </w:tcPr>
          <w:p w14:paraId="2DA32A1B" w14:textId="77777777" w:rsidR="0083004B" w:rsidRDefault="00E14A9E">
            <w:pPr>
              <w:spacing w:after="0"/>
              <w:ind w:left="-20" w:right="-20"/>
              <w:jc w:val="center"/>
              <w:rPr>
                <w:rFonts w:ascii="Garamond" w:eastAsia="Garamond" w:hAnsi="Garamond" w:cs="Garamond"/>
                <w:color w:val="000000"/>
                <w:sz w:val="20"/>
                <w:szCs w:val="20"/>
              </w:rPr>
            </w:pPr>
            <w:r>
              <w:rPr>
                <w:rFonts w:ascii="Garamond" w:eastAsia="Garamond" w:hAnsi="Garamond" w:cs="Garamond"/>
                <w:color w:val="000000"/>
                <w:sz w:val="20"/>
                <w:szCs w:val="20"/>
              </w:rPr>
              <w:t>Comma-Separated Values (.csv)</w:t>
            </w:r>
          </w:p>
        </w:tc>
      </w:tr>
      <w:tr w:rsidR="0083004B" w14:paraId="2DA32A23" w14:textId="77777777">
        <w:trPr>
          <w:trHeight w:val="71"/>
        </w:trPr>
        <w:tc>
          <w:tcPr>
            <w:tcW w:w="2870" w:type="dxa"/>
            <w:tcBorders>
              <w:top w:val="single" w:sz="8" w:space="0" w:color="000000"/>
              <w:left w:val="single" w:sz="8" w:space="0" w:color="000000"/>
              <w:bottom w:val="single" w:sz="8" w:space="0" w:color="000000"/>
              <w:right w:val="single" w:sz="8" w:space="0" w:color="000000"/>
            </w:tcBorders>
            <w:vAlign w:val="center"/>
          </w:tcPr>
          <w:p w14:paraId="2DA32A1D" w14:textId="77777777" w:rsidR="0083004B" w:rsidRDefault="00E14A9E">
            <w:pP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Hispanic or Latino Origin by Race (Table B03002)</w:t>
            </w:r>
          </w:p>
        </w:tc>
        <w:tc>
          <w:tcPr>
            <w:tcW w:w="1710" w:type="dxa"/>
            <w:tcBorders>
              <w:top w:val="single" w:sz="8" w:space="0" w:color="000000"/>
              <w:left w:val="single" w:sz="8" w:space="0" w:color="000000"/>
              <w:bottom w:val="single" w:sz="8" w:space="0" w:color="000000"/>
              <w:right w:val="single" w:sz="8" w:space="0" w:color="000000"/>
            </w:tcBorders>
            <w:vAlign w:val="center"/>
          </w:tcPr>
          <w:p w14:paraId="2DA32A1E" w14:textId="77777777" w:rsidR="0083004B" w:rsidRDefault="00E14A9E">
            <w:pPr>
              <w:jc w:val="center"/>
              <w:rPr>
                <w:rFonts w:ascii="Garamond" w:eastAsia="Garamond" w:hAnsi="Garamond" w:cs="Garamond"/>
                <w:color w:val="000000"/>
                <w:sz w:val="20"/>
                <w:szCs w:val="20"/>
              </w:rPr>
            </w:pPr>
            <w:r>
              <w:rPr>
                <w:rFonts w:ascii="Garamond" w:eastAsia="Garamond" w:hAnsi="Garamond" w:cs="Garamond"/>
                <w:color w:val="000000"/>
                <w:sz w:val="20"/>
                <w:szCs w:val="20"/>
              </w:rPr>
              <w:t>Ethnic Minority</w:t>
            </w:r>
          </w:p>
        </w:tc>
        <w:tc>
          <w:tcPr>
            <w:tcW w:w="990" w:type="dxa"/>
            <w:vMerge/>
            <w:tcBorders>
              <w:top w:val="single" w:sz="8" w:space="0" w:color="000000"/>
              <w:left w:val="single" w:sz="8" w:space="0" w:color="000000"/>
              <w:bottom w:val="single" w:sz="4" w:space="0" w:color="000000"/>
              <w:right w:val="single" w:sz="8" w:space="0" w:color="000000"/>
            </w:tcBorders>
            <w:vAlign w:val="center"/>
          </w:tcPr>
          <w:p w14:paraId="2DA32A1F"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c>
        <w:tc>
          <w:tcPr>
            <w:tcW w:w="1260" w:type="dxa"/>
            <w:vMerge/>
            <w:tcBorders>
              <w:top w:val="single" w:sz="8" w:space="0" w:color="000000"/>
              <w:left w:val="single" w:sz="8" w:space="0" w:color="000000"/>
              <w:bottom w:val="single" w:sz="4" w:space="0" w:color="000000"/>
              <w:right w:val="single" w:sz="8" w:space="0" w:color="000000"/>
            </w:tcBorders>
            <w:vAlign w:val="center"/>
          </w:tcPr>
          <w:p w14:paraId="2DA32A20"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c>
        <w:tc>
          <w:tcPr>
            <w:tcW w:w="1350" w:type="dxa"/>
            <w:vMerge/>
            <w:tcBorders>
              <w:top w:val="single" w:sz="8" w:space="0" w:color="000000"/>
              <w:left w:val="single" w:sz="8" w:space="0" w:color="000000"/>
              <w:bottom w:val="single" w:sz="4" w:space="0" w:color="000000"/>
              <w:right w:val="single" w:sz="8" w:space="0" w:color="000000"/>
            </w:tcBorders>
            <w:vAlign w:val="center"/>
          </w:tcPr>
          <w:p w14:paraId="2DA32A21"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c>
        <w:tc>
          <w:tcPr>
            <w:tcW w:w="1321" w:type="dxa"/>
            <w:vMerge/>
            <w:tcBorders>
              <w:top w:val="single" w:sz="8" w:space="0" w:color="000000"/>
              <w:left w:val="single" w:sz="8" w:space="0" w:color="000000"/>
              <w:bottom w:val="single" w:sz="4" w:space="0" w:color="000000"/>
              <w:right w:val="single" w:sz="8" w:space="0" w:color="000000"/>
            </w:tcBorders>
            <w:vAlign w:val="center"/>
          </w:tcPr>
          <w:p w14:paraId="2DA32A22"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c>
      </w:tr>
      <w:tr w:rsidR="0083004B" w14:paraId="2DA32A2B" w14:textId="77777777">
        <w:trPr>
          <w:trHeight w:val="585"/>
        </w:trPr>
        <w:tc>
          <w:tcPr>
            <w:tcW w:w="2870" w:type="dxa"/>
            <w:tcBorders>
              <w:top w:val="single" w:sz="8" w:space="0" w:color="000000"/>
              <w:left w:val="single" w:sz="8" w:space="0" w:color="000000"/>
              <w:bottom w:val="single" w:sz="8" w:space="0" w:color="000000"/>
              <w:right w:val="single" w:sz="8" w:space="0" w:color="000000"/>
            </w:tcBorders>
            <w:vAlign w:val="center"/>
          </w:tcPr>
          <w:p w14:paraId="2DA32A24" w14:textId="77777777" w:rsidR="0083004B" w:rsidRDefault="00E14A9E">
            <w:pP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Poverty Status of Individuals in the Past 12 Months by Living Arrangement </w:t>
            </w:r>
          </w:p>
          <w:p w14:paraId="2DA32A25" w14:textId="77777777" w:rsidR="0083004B" w:rsidRDefault="00E14A9E">
            <w:pP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(Table B17021)</w:t>
            </w:r>
          </w:p>
        </w:tc>
        <w:tc>
          <w:tcPr>
            <w:tcW w:w="1710" w:type="dxa"/>
            <w:tcBorders>
              <w:top w:val="single" w:sz="8" w:space="0" w:color="000000"/>
              <w:left w:val="single" w:sz="8" w:space="0" w:color="000000"/>
              <w:bottom w:val="single" w:sz="8" w:space="0" w:color="000000"/>
              <w:right w:val="single" w:sz="8" w:space="0" w:color="000000"/>
            </w:tcBorders>
            <w:vAlign w:val="center"/>
          </w:tcPr>
          <w:p w14:paraId="2DA32A26" w14:textId="77777777" w:rsidR="0083004B" w:rsidRDefault="00E14A9E">
            <w:pPr>
              <w:jc w:val="center"/>
              <w:rPr>
                <w:rFonts w:ascii="Garamond" w:eastAsia="Garamond" w:hAnsi="Garamond" w:cs="Garamond"/>
                <w:color w:val="000000"/>
                <w:sz w:val="20"/>
                <w:szCs w:val="20"/>
              </w:rPr>
            </w:pPr>
            <w:r>
              <w:rPr>
                <w:rFonts w:ascii="Garamond" w:eastAsia="Garamond" w:hAnsi="Garamond" w:cs="Garamond"/>
                <w:color w:val="000000"/>
                <w:sz w:val="20"/>
                <w:szCs w:val="20"/>
              </w:rPr>
              <w:t>Poverty</w:t>
            </w:r>
          </w:p>
        </w:tc>
        <w:tc>
          <w:tcPr>
            <w:tcW w:w="990" w:type="dxa"/>
            <w:vMerge/>
            <w:tcBorders>
              <w:top w:val="single" w:sz="8" w:space="0" w:color="000000"/>
              <w:left w:val="single" w:sz="8" w:space="0" w:color="000000"/>
              <w:bottom w:val="single" w:sz="4" w:space="0" w:color="000000"/>
              <w:right w:val="single" w:sz="8" w:space="0" w:color="000000"/>
            </w:tcBorders>
            <w:vAlign w:val="center"/>
          </w:tcPr>
          <w:p w14:paraId="2DA32A27"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c>
        <w:tc>
          <w:tcPr>
            <w:tcW w:w="1260" w:type="dxa"/>
            <w:vMerge/>
            <w:tcBorders>
              <w:top w:val="single" w:sz="8" w:space="0" w:color="000000"/>
              <w:left w:val="single" w:sz="8" w:space="0" w:color="000000"/>
              <w:bottom w:val="single" w:sz="4" w:space="0" w:color="000000"/>
              <w:right w:val="single" w:sz="8" w:space="0" w:color="000000"/>
            </w:tcBorders>
            <w:vAlign w:val="center"/>
          </w:tcPr>
          <w:p w14:paraId="2DA32A28"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c>
        <w:tc>
          <w:tcPr>
            <w:tcW w:w="1350" w:type="dxa"/>
            <w:vMerge/>
            <w:tcBorders>
              <w:top w:val="single" w:sz="8" w:space="0" w:color="000000"/>
              <w:left w:val="single" w:sz="8" w:space="0" w:color="000000"/>
              <w:bottom w:val="single" w:sz="4" w:space="0" w:color="000000"/>
              <w:right w:val="single" w:sz="8" w:space="0" w:color="000000"/>
            </w:tcBorders>
            <w:vAlign w:val="center"/>
          </w:tcPr>
          <w:p w14:paraId="2DA32A29"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c>
        <w:tc>
          <w:tcPr>
            <w:tcW w:w="1321" w:type="dxa"/>
            <w:vMerge/>
            <w:tcBorders>
              <w:top w:val="single" w:sz="8" w:space="0" w:color="000000"/>
              <w:left w:val="single" w:sz="8" w:space="0" w:color="000000"/>
              <w:bottom w:val="single" w:sz="4" w:space="0" w:color="000000"/>
              <w:right w:val="single" w:sz="8" w:space="0" w:color="000000"/>
            </w:tcBorders>
            <w:vAlign w:val="center"/>
          </w:tcPr>
          <w:p w14:paraId="2DA32A2A"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c>
      </w:tr>
      <w:tr w:rsidR="0083004B" w14:paraId="2DA32A32" w14:textId="77777777">
        <w:trPr>
          <w:trHeight w:val="660"/>
        </w:trPr>
        <w:tc>
          <w:tcPr>
            <w:tcW w:w="2870" w:type="dxa"/>
            <w:tcBorders>
              <w:top w:val="single" w:sz="8" w:space="0" w:color="000000"/>
              <w:left w:val="single" w:sz="8" w:space="0" w:color="000000"/>
              <w:bottom w:val="single" w:sz="8" w:space="0" w:color="000000"/>
              <w:right w:val="single" w:sz="8" w:space="0" w:color="000000"/>
            </w:tcBorders>
            <w:vAlign w:val="center"/>
          </w:tcPr>
          <w:p w14:paraId="2DA32A2C" w14:textId="77777777" w:rsidR="0083004B" w:rsidRDefault="00E14A9E">
            <w:pP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Sex by Age (Table B01001)</w:t>
            </w:r>
          </w:p>
        </w:tc>
        <w:tc>
          <w:tcPr>
            <w:tcW w:w="1710" w:type="dxa"/>
            <w:tcBorders>
              <w:top w:val="single" w:sz="8" w:space="0" w:color="000000"/>
              <w:left w:val="single" w:sz="8" w:space="0" w:color="000000"/>
              <w:bottom w:val="single" w:sz="8" w:space="0" w:color="000000"/>
              <w:right w:val="single" w:sz="8" w:space="0" w:color="000000"/>
            </w:tcBorders>
            <w:vAlign w:val="center"/>
          </w:tcPr>
          <w:p w14:paraId="2DA32A2D" w14:textId="77777777" w:rsidR="0083004B" w:rsidRDefault="00E14A9E">
            <w:pPr>
              <w:jc w:val="center"/>
              <w:rPr>
                <w:rFonts w:ascii="Garamond" w:eastAsia="Garamond" w:hAnsi="Garamond" w:cs="Garamond"/>
                <w:color w:val="000000"/>
                <w:sz w:val="20"/>
                <w:szCs w:val="20"/>
              </w:rPr>
            </w:pPr>
            <w:r>
              <w:rPr>
                <w:rFonts w:ascii="Garamond" w:eastAsia="Garamond" w:hAnsi="Garamond" w:cs="Garamond"/>
                <w:color w:val="000000"/>
                <w:sz w:val="20"/>
                <w:szCs w:val="20"/>
              </w:rPr>
              <w:t>Ages 65 and Over</w:t>
            </w:r>
          </w:p>
        </w:tc>
        <w:tc>
          <w:tcPr>
            <w:tcW w:w="990" w:type="dxa"/>
            <w:vMerge/>
            <w:tcBorders>
              <w:top w:val="single" w:sz="8" w:space="0" w:color="000000"/>
              <w:left w:val="single" w:sz="8" w:space="0" w:color="000000"/>
              <w:bottom w:val="single" w:sz="4" w:space="0" w:color="000000"/>
              <w:right w:val="single" w:sz="8" w:space="0" w:color="000000"/>
            </w:tcBorders>
            <w:vAlign w:val="center"/>
          </w:tcPr>
          <w:p w14:paraId="2DA32A2E"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c>
        <w:tc>
          <w:tcPr>
            <w:tcW w:w="1260" w:type="dxa"/>
            <w:vMerge/>
            <w:tcBorders>
              <w:top w:val="single" w:sz="8" w:space="0" w:color="000000"/>
              <w:left w:val="single" w:sz="8" w:space="0" w:color="000000"/>
              <w:bottom w:val="single" w:sz="4" w:space="0" w:color="000000"/>
              <w:right w:val="single" w:sz="8" w:space="0" w:color="000000"/>
            </w:tcBorders>
            <w:vAlign w:val="center"/>
          </w:tcPr>
          <w:p w14:paraId="2DA32A2F"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c>
        <w:tc>
          <w:tcPr>
            <w:tcW w:w="1350" w:type="dxa"/>
            <w:vMerge/>
            <w:tcBorders>
              <w:top w:val="single" w:sz="8" w:space="0" w:color="000000"/>
              <w:left w:val="single" w:sz="8" w:space="0" w:color="000000"/>
              <w:bottom w:val="single" w:sz="4" w:space="0" w:color="000000"/>
              <w:right w:val="single" w:sz="8" w:space="0" w:color="000000"/>
            </w:tcBorders>
            <w:vAlign w:val="center"/>
          </w:tcPr>
          <w:p w14:paraId="2DA32A30"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c>
        <w:tc>
          <w:tcPr>
            <w:tcW w:w="1321" w:type="dxa"/>
            <w:vMerge/>
            <w:tcBorders>
              <w:top w:val="single" w:sz="8" w:space="0" w:color="000000"/>
              <w:left w:val="single" w:sz="8" w:space="0" w:color="000000"/>
              <w:bottom w:val="single" w:sz="4" w:space="0" w:color="000000"/>
              <w:right w:val="single" w:sz="8" w:space="0" w:color="000000"/>
            </w:tcBorders>
            <w:vAlign w:val="center"/>
          </w:tcPr>
          <w:p w14:paraId="2DA32A31"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c>
      </w:tr>
      <w:tr w:rsidR="0083004B" w14:paraId="2DA32A3A" w14:textId="77777777">
        <w:trPr>
          <w:trHeight w:val="585"/>
        </w:trPr>
        <w:tc>
          <w:tcPr>
            <w:tcW w:w="2870" w:type="dxa"/>
            <w:tcBorders>
              <w:top w:val="single" w:sz="8" w:space="0" w:color="000000"/>
              <w:left w:val="single" w:sz="8" w:space="0" w:color="000000"/>
              <w:bottom w:val="single" w:sz="8" w:space="0" w:color="000000"/>
              <w:right w:val="single" w:sz="8" w:space="0" w:color="000000"/>
            </w:tcBorders>
            <w:vAlign w:val="center"/>
          </w:tcPr>
          <w:p w14:paraId="2DA32A33" w14:textId="77777777" w:rsidR="0083004B" w:rsidRDefault="00E14A9E">
            <w:pP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Educational Attainment for the Population 25 Years and Over</w:t>
            </w:r>
          </w:p>
          <w:p w14:paraId="2DA32A34" w14:textId="77777777" w:rsidR="0083004B" w:rsidRDefault="00E14A9E">
            <w:pPr>
              <w:spacing w:line="240"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(Table B15003)</w:t>
            </w:r>
          </w:p>
        </w:tc>
        <w:tc>
          <w:tcPr>
            <w:tcW w:w="1710" w:type="dxa"/>
            <w:tcBorders>
              <w:top w:val="single" w:sz="8" w:space="0" w:color="000000"/>
              <w:left w:val="single" w:sz="8" w:space="0" w:color="000000"/>
              <w:bottom w:val="single" w:sz="8" w:space="0" w:color="000000"/>
              <w:right w:val="single" w:sz="8" w:space="0" w:color="000000"/>
            </w:tcBorders>
            <w:vAlign w:val="center"/>
          </w:tcPr>
          <w:p w14:paraId="2DA32A35" w14:textId="77777777" w:rsidR="0083004B" w:rsidRDefault="00E14A9E">
            <w:pPr>
              <w:spacing w:after="0"/>
              <w:jc w:val="center"/>
              <w:rPr>
                <w:rFonts w:ascii="Garamond" w:eastAsia="Garamond" w:hAnsi="Garamond" w:cs="Garamond"/>
                <w:color w:val="000000"/>
                <w:sz w:val="20"/>
                <w:szCs w:val="20"/>
              </w:rPr>
            </w:pPr>
            <w:r>
              <w:rPr>
                <w:rFonts w:ascii="Garamond" w:eastAsia="Garamond" w:hAnsi="Garamond" w:cs="Garamond"/>
                <w:color w:val="000000"/>
                <w:sz w:val="20"/>
                <w:szCs w:val="20"/>
              </w:rPr>
              <w:t>Adults Without a High School Diploma</w:t>
            </w:r>
          </w:p>
        </w:tc>
        <w:tc>
          <w:tcPr>
            <w:tcW w:w="990" w:type="dxa"/>
            <w:vMerge/>
            <w:tcBorders>
              <w:top w:val="single" w:sz="8" w:space="0" w:color="000000"/>
              <w:left w:val="single" w:sz="8" w:space="0" w:color="000000"/>
              <w:bottom w:val="single" w:sz="4" w:space="0" w:color="000000"/>
              <w:right w:val="single" w:sz="8" w:space="0" w:color="000000"/>
            </w:tcBorders>
            <w:vAlign w:val="center"/>
          </w:tcPr>
          <w:p w14:paraId="2DA32A36"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c>
        <w:tc>
          <w:tcPr>
            <w:tcW w:w="1260" w:type="dxa"/>
            <w:vMerge/>
            <w:tcBorders>
              <w:top w:val="single" w:sz="8" w:space="0" w:color="000000"/>
              <w:left w:val="single" w:sz="8" w:space="0" w:color="000000"/>
              <w:bottom w:val="single" w:sz="4" w:space="0" w:color="000000"/>
              <w:right w:val="single" w:sz="8" w:space="0" w:color="000000"/>
            </w:tcBorders>
            <w:vAlign w:val="center"/>
          </w:tcPr>
          <w:p w14:paraId="2DA32A37"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c>
        <w:tc>
          <w:tcPr>
            <w:tcW w:w="1350" w:type="dxa"/>
            <w:vMerge/>
            <w:tcBorders>
              <w:top w:val="single" w:sz="8" w:space="0" w:color="000000"/>
              <w:left w:val="single" w:sz="8" w:space="0" w:color="000000"/>
              <w:bottom w:val="single" w:sz="4" w:space="0" w:color="000000"/>
              <w:right w:val="single" w:sz="8" w:space="0" w:color="000000"/>
            </w:tcBorders>
            <w:vAlign w:val="center"/>
          </w:tcPr>
          <w:p w14:paraId="2DA32A38"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c>
        <w:tc>
          <w:tcPr>
            <w:tcW w:w="1321" w:type="dxa"/>
            <w:vMerge/>
            <w:tcBorders>
              <w:top w:val="single" w:sz="8" w:space="0" w:color="000000"/>
              <w:left w:val="single" w:sz="8" w:space="0" w:color="000000"/>
              <w:bottom w:val="single" w:sz="4" w:space="0" w:color="000000"/>
              <w:right w:val="single" w:sz="8" w:space="0" w:color="000000"/>
            </w:tcBorders>
            <w:vAlign w:val="center"/>
          </w:tcPr>
          <w:p w14:paraId="2DA32A39"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sz w:val="20"/>
                <w:szCs w:val="20"/>
              </w:rPr>
            </w:pPr>
          </w:p>
        </w:tc>
      </w:tr>
    </w:tbl>
    <w:p w14:paraId="2DA32A3B" w14:textId="77777777" w:rsidR="0083004B" w:rsidRDefault="0083004B">
      <w:pPr>
        <w:spacing w:after="0" w:line="240" w:lineRule="auto"/>
        <w:rPr>
          <w:rFonts w:ascii="Garamond" w:eastAsia="Garamond" w:hAnsi="Garamond" w:cs="Garamond"/>
        </w:rPr>
      </w:pPr>
    </w:p>
    <w:p w14:paraId="2DA32A3C" w14:textId="77777777" w:rsidR="0083004B" w:rsidRDefault="0083004B">
      <w:pPr>
        <w:spacing w:after="0" w:line="240" w:lineRule="auto"/>
        <w:rPr>
          <w:rFonts w:ascii="Garamond" w:eastAsia="Garamond" w:hAnsi="Garamond" w:cs="Garamond"/>
        </w:rPr>
      </w:pPr>
    </w:p>
    <w:p w14:paraId="2DA32A3D" w14:textId="77777777" w:rsidR="0083004B" w:rsidRDefault="00E14A9E">
      <w:pPr>
        <w:spacing w:after="0" w:line="240" w:lineRule="auto"/>
        <w:rPr>
          <w:rFonts w:ascii="Garamond" w:eastAsia="Garamond" w:hAnsi="Garamond" w:cs="Garamond"/>
          <w:i/>
          <w:color w:val="000000"/>
        </w:rPr>
      </w:pPr>
      <w:r>
        <w:rPr>
          <w:rFonts w:ascii="Garamond" w:eastAsia="Garamond" w:hAnsi="Garamond" w:cs="Garamond"/>
          <w:i/>
        </w:rPr>
        <w:t>3.1.3 SOLWEIG Data Acquisition</w:t>
      </w:r>
    </w:p>
    <w:p w14:paraId="2DA32A3E"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lastRenderedPageBreak/>
        <w:t>The Solar Longwave Environmental Irradiance Geometry, or SOLWEIG model, is a 3-D model that simulates mean radiant temperature (</w:t>
      </w:r>
      <w:proofErr w:type="spellStart"/>
      <w:r>
        <w:rPr>
          <w:rFonts w:ascii="Garamond" w:eastAsia="Garamond" w:hAnsi="Garamond" w:cs="Garamond"/>
          <w:color w:val="000000"/>
        </w:rPr>
        <w:t>T</w:t>
      </w:r>
      <w:r>
        <w:rPr>
          <w:rFonts w:ascii="Garamond" w:eastAsia="Garamond" w:hAnsi="Garamond" w:cs="Garamond"/>
          <w:color w:val="000000"/>
          <w:vertAlign w:val="subscript"/>
        </w:rPr>
        <w:t>mrt</w:t>
      </w:r>
      <w:proofErr w:type="spellEnd"/>
      <w:r>
        <w:rPr>
          <w:rFonts w:ascii="Garamond" w:eastAsia="Garamond" w:hAnsi="Garamond" w:cs="Garamond"/>
          <w:color w:val="000000"/>
        </w:rPr>
        <w:t xml:space="preserve">), a more accurate measurement for felt temperature by people (Lindberg and </w:t>
      </w:r>
      <w:proofErr w:type="spellStart"/>
      <w:r>
        <w:rPr>
          <w:rFonts w:ascii="Garamond" w:eastAsia="Garamond" w:hAnsi="Garamond" w:cs="Garamond"/>
          <w:color w:val="000000"/>
        </w:rPr>
        <w:t>Grimmond</w:t>
      </w:r>
      <w:proofErr w:type="spellEnd"/>
      <w:r>
        <w:rPr>
          <w:rFonts w:ascii="Garamond" w:eastAsia="Garamond" w:hAnsi="Garamond" w:cs="Garamond"/>
          <w:color w:val="000000"/>
        </w:rPr>
        <w:t xml:space="preserve">, 2011). It is </w:t>
      </w:r>
      <w:r>
        <w:rPr>
          <w:rFonts w:ascii="Garamond" w:eastAsia="Garamond" w:hAnsi="Garamond" w:cs="Garamond"/>
          <w:color w:val="000000"/>
          <w:shd w:val="clear" w:color="auto" w:fill="FCFCFC"/>
        </w:rPr>
        <w:t xml:space="preserve">derived by </w:t>
      </w:r>
      <w:r>
        <w:rPr>
          <w:rFonts w:ascii="Garamond" w:eastAsia="Garamond" w:hAnsi="Garamond" w:cs="Garamond"/>
          <w:shd w:val="clear" w:color="auto" w:fill="FCFCFC"/>
        </w:rPr>
        <w:t>modeling</w:t>
      </w:r>
      <w:r>
        <w:rPr>
          <w:rFonts w:ascii="Garamond" w:eastAsia="Garamond" w:hAnsi="Garamond" w:cs="Garamond"/>
          <w:color w:val="000000"/>
          <w:shd w:val="clear" w:color="auto" w:fill="FCFCFC"/>
        </w:rPr>
        <w:t xml:space="preserve"> shortwave and longwave radiation fluxes in six directions, upward, downward and from the four cardinal points, including angular factors. </w:t>
      </w:r>
      <w:r>
        <w:rPr>
          <w:rFonts w:ascii="Garamond" w:eastAsia="Garamond" w:hAnsi="Garamond" w:cs="Garamond"/>
          <w:color w:val="000000"/>
        </w:rPr>
        <w:t xml:space="preserve">It requires the allocation of spatial data of the same resolution and extent with corresponding meteorological data for the selected area of interest. We acquired 2014 Light Detection and Ranging (LiDAR) point cloud data for Baltimore City via USGS National Map Viewer. We acquired 2021 1-meter Land Cover data for Baltimore City via the National Agricultural Imagery Program (NAIP). Meteorological data was sourced from Virtual Crossing and was modeled on a random summer day in August 2023, to simulate a high temperature example. </w:t>
      </w:r>
    </w:p>
    <w:p w14:paraId="2DA32A3F" w14:textId="77777777" w:rsidR="0083004B" w:rsidRDefault="0083004B">
      <w:pPr>
        <w:spacing w:after="0" w:line="240" w:lineRule="auto"/>
        <w:rPr>
          <w:rFonts w:ascii="Garamond" w:eastAsia="Garamond" w:hAnsi="Garamond" w:cs="Garamond"/>
          <w:color w:val="000000"/>
        </w:rPr>
      </w:pPr>
    </w:p>
    <w:p w14:paraId="2DA32A40" w14:textId="77777777" w:rsidR="0083004B" w:rsidRDefault="0083004B">
      <w:pPr>
        <w:spacing w:after="0" w:line="240" w:lineRule="auto"/>
        <w:rPr>
          <w:rFonts w:ascii="Garamond" w:eastAsia="Garamond" w:hAnsi="Garamond" w:cs="Garamond"/>
          <w:color w:val="000000"/>
        </w:rPr>
      </w:pPr>
    </w:p>
    <w:p w14:paraId="2DA32A41" w14:textId="77777777" w:rsidR="0083004B" w:rsidRDefault="0083004B">
      <w:pPr>
        <w:spacing w:after="0" w:line="240" w:lineRule="auto"/>
        <w:rPr>
          <w:rFonts w:ascii="Garamond" w:eastAsia="Garamond" w:hAnsi="Garamond" w:cs="Garamond"/>
        </w:rPr>
      </w:pPr>
    </w:p>
    <w:p w14:paraId="2DA32A42" w14:textId="77777777" w:rsidR="0083004B" w:rsidRDefault="0083004B">
      <w:pPr>
        <w:spacing w:after="0" w:line="240" w:lineRule="auto"/>
        <w:rPr>
          <w:rFonts w:ascii="Garamond" w:eastAsia="Garamond" w:hAnsi="Garamond" w:cs="Garamond"/>
        </w:rPr>
      </w:pPr>
    </w:p>
    <w:p w14:paraId="2DA32A43" w14:textId="77777777" w:rsidR="0083004B" w:rsidRDefault="0083004B">
      <w:pPr>
        <w:spacing w:after="0" w:line="240" w:lineRule="auto"/>
        <w:rPr>
          <w:rFonts w:ascii="Garamond" w:eastAsia="Garamond" w:hAnsi="Garamond" w:cs="Garamond"/>
        </w:rPr>
      </w:pPr>
    </w:p>
    <w:p w14:paraId="2DA32A44" w14:textId="77777777" w:rsidR="0083004B" w:rsidRDefault="00E14A9E">
      <w:pPr>
        <w:spacing w:after="0" w:line="240" w:lineRule="auto"/>
        <w:rPr>
          <w:rFonts w:ascii="Garamond" w:eastAsia="Garamond" w:hAnsi="Garamond" w:cs="Garamond"/>
          <w:i/>
        </w:rPr>
      </w:pPr>
      <w:r>
        <w:rPr>
          <w:rFonts w:ascii="Garamond" w:eastAsia="Garamond" w:hAnsi="Garamond" w:cs="Garamond"/>
        </w:rPr>
        <w:t>Table 3</w:t>
      </w:r>
    </w:p>
    <w:p w14:paraId="2DA32A45" w14:textId="77777777" w:rsidR="0083004B" w:rsidRDefault="00E14A9E">
      <w:pPr>
        <w:spacing w:after="0" w:line="240" w:lineRule="auto"/>
        <w:rPr>
          <w:rFonts w:ascii="Garamond" w:eastAsia="Garamond" w:hAnsi="Garamond" w:cs="Garamond"/>
          <w:i/>
        </w:rPr>
      </w:pPr>
      <w:r>
        <w:rPr>
          <w:rFonts w:ascii="Garamond" w:eastAsia="Garamond" w:hAnsi="Garamond" w:cs="Garamond"/>
          <w:i/>
        </w:rPr>
        <w:t xml:space="preserve">Ancillary datasets collected for processing at differing elevations and modeling using </w:t>
      </w:r>
      <w:proofErr w:type="spellStart"/>
      <w:r>
        <w:rPr>
          <w:rFonts w:ascii="Garamond" w:eastAsia="Garamond" w:hAnsi="Garamond" w:cs="Garamond"/>
          <w:i/>
        </w:rPr>
        <w:t>SOlar</w:t>
      </w:r>
      <w:proofErr w:type="spellEnd"/>
      <w:r>
        <w:rPr>
          <w:rFonts w:ascii="Garamond" w:eastAsia="Garamond" w:hAnsi="Garamond" w:cs="Garamond"/>
          <w:i/>
        </w:rPr>
        <w:t xml:space="preserve"> and </w:t>
      </w:r>
      <w:proofErr w:type="spellStart"/>
      <w:r>
        <w:rPr>
          <w:rFonts w:ascii="Garamond" w:eastAsia="Garamond" w:hAnsi="Garamond" w:cs="Garamond"/>
          <w:i/>
        </w:rPr>
        <w:t>LongWave</w:t>
      </w:r>
      <w:proofErr w:type="spellEnd"/>
      <w:r>
        <w:rPr>
          <w:rFonts w:ascii="Garamond" w:eastAsia="Garamond" w:hAnsi="Garamond" w:cs="Garamond"/>
          <w:i/>
        </w:rPr>
        <w:t xml:space="preserve"> Environmental Irradiance Geometry model (SOLWEIG)</w:t>
      </w:r>
    </w:p>
    <w:p w14:paraId="2DA32A46" w14:textId="77777777" w:rsidR="0083004B" w:rsidRDefault="0083004B">
      <w:pPr>
        <w:spacing w:after="0" w:line="240" w:lineRule="auto"/>
        <w:rPr>
          <w:rFonts w:ascii="Garamond" w:eastAsia="Garamond" w:hAnsi="Garamond" w:cs="Garamond"/>
          <w:i/>
        </w:rPr>
      </w:pPr>
    </w:p>
    <w:tbl>
      <w:tblPr>
        <w:tblW w:w="9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56"/>
        <w:gridCol w:w="1694"/>
        <w:gridCol w:w="2422"/>
        <w:gridCol w:w="1208"/>
        <w:gridCol w:w="1882"/>
      </w:tblGrid>
      <w:tr w:rsidR="0083004B" w14:paraId="2DA32A4C" w14:textId="77777777">
        <w:trPr>
          <w:trHeight w:val="240"/>
        </w:trPr>
        <w:tc>
          <w:tcPr>
            <w:tcW w:w="1956"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DA32A47" w14:textId="77777777" w:rsidR="0083004B" w:rsidRDefault="00E14A9E">
            <w:pPr>
              <w:spacing w:line="276" w:lineRule="auto"/>
              <w:ind w:left="-20" w:right="-20"/>
              <w:jc w:val="center"/>
              <w:rPr>
                <w:rFonts w:ascii="Garamond" w:eastAsia="Garamond" w:hAnsi="Garamond" w:cs="Garamond"/>
                <w:b/>
                <w:sz w:val="20"/>
                <w:szCs w:val="20"/>
              </w:rPr>
            </w:pPr>
            <w:r>
              <w:rPr>
                <w:rFonts w:ascii="Garamond" w:eastAsia="Garamond" w:hAnsi="Garamond" w:cs="Garamond"/>
                <w:b/>
                <w:sz w:val="20"/>
                <w:szCs w:val="20"/>
              </w:rPr>
              <w:t>Dataset</w:t>
            </w:r>
          </w:p>
        </w:tc>
        <w:tc>
          <w:tcPr>
            <w:tcW w:w="1694"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DA32A48" w14:textId="77777777" w:rsidR="0083004B" w:rsidRDefault="00E14A9E">
            <w:pPr>
              <w:spacing w:line="276" w:lineRule="auto"/>
              <w:ind w:left="-20" w:right="-20"/>
              <w:jc w:val="center"/>
              <w:rPr>
                <w:rFonts w:ascii="Garamond" w:eastAsia="Garamond" w:hAnsi="Garamond" w:cs="Garamond"/>
                <w:b/>
                <w:sz w:val="20"/>
                <w:szCs w:val="20"/>
              </w:rPr>
            </w:pPr>
            <w:r>
              <w:rPr>
                <w:rFonts w:ascii="Garamond" w:eastAsia="Garamond" w:hAnsi="Garamond" w:cs="Garamond"/>
                <w:b/>
                <w:sz w:val="20"/>
                <w:szCs w:val="20"/>
              </w:rPr>
              <w:t>Source</w:t>
            </w:r>
          </w:p>
        </w:tc>
        <w:tc>
          <w:tcPr>
            <w:tcW w:w="242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DA32A49" w14:textId="77777777" w:rsidR="0083004B" w:rsidRDefault="00E14A9E">
            <w:pPr>
              <w:spacing w:line="276" w:lineRule="auto"/>
              <w:ind w:left="-20" w:right="-20"/>
              <w:jc w:val="center"/>
              <w:rPr>
                <w:rFonts w:ascii="Garamond" w:eastAsia="Garamond" w:hAnsi="Garamond" w:cs="Garamond"/>
                <w:b/>
                <w:sz w:val="20"/>
                <w:szCs w:val="20"/>
              </w:rPr>
            </w:pPr>
            <w:r>
              <w:rPr>
                <w:rFonts w:ascii="Garamond" w:eastAsia="Garamond" w:hAnsi="Garamond" w:cs="Garamond"/>
                <w:b/>
                <w:sz w:val="20"/>
                <w:szCs w:val="20"/>
              </w:rPr>
              <w:t>Use</w:t>
            </w:r>
          </w:p>
        </w:tc>
        <w:tc>
          <w:tcPr>
            <w:tcW w:w="120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DA32A4A" w14:textId="77777777" w:rsidR="0083004B" w:rsidRDefault="00E14A9E">
            <w:pPr>
              <w:spacing w:after="200" w:line="276" w:lineRule="auto"/>
              <w:ind w:left="-20" w:right="-20"/>
              <w:jc w:val="center"/>
              <w:rPr>
                <w:rFonts w:ascii="Garamond" w:eastAsia="Garamond" w:hAnsi="Garamond" w:cs="Garamond"/>
                <w:b/>
                <w:sz w:val="20"/>
                <w:szCs w:val="20"/>
              </w:rPr>
            </w:pPr>
            <w:r>
              <w:rPr>
                <w:rFonts w:ascii="Garamond" w:eastAsia="Garamond" w:hAnsi="Garamond" w:cs="Garamond"/>
                <w:b/>
                <w:sz w:val="20"/>
                <w:szCs w:val="20"/>
              </w:rPr>
              <w:t>Date(s)</w:t>
            </w:r>
          </w:p>
        </w:tc>
        <w:tc>
          <w:tcPr>
            <w:tcW w:w="1882"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DA32A4B" w14:textId="77777777" w:rsidR="0083004B" w:rsidRDefault="00E14A9E">
            <w:pPr>
              <w:ind w:left="-20" w:right="-20"/>
              <w:jc w:val="center"/>
              <w:rPr>
                <w:rFonts w:ascii="Garamond" w:eastAsia="Garamond" w:hAnsi="Garamond" w:cs="Garamond"/>
                <w:b/>
                <w:sz w:val="20"/>
                <w:szCs w:val="20"/>
              </w:rPr>
            </w:pPr>
            <w:r>
              <w:rPr>
                <w:rFonts w:ascii="Garamond" w:eastAsia="Garamond" w:hAnsi="Garamond" w:cs="Garamond"/>
                <w:b/>
                <w:sz w:val="20"/>
                <w:szCs w:val="20"/>
              </w:rPr>
              <w:t>Data Type</w:t>
            </w:r>
          </w:p>
        </w:tc>
      </w:tr>
      <w:tr w:rsidR="0083004B" w14:paraId="2DA32A53" w14:textId="77777777">
        <w:trPr>
          <w:trHeight w:val="360"/>
        </w:trPr>
        <w:tc>
          <w:tcPr>
            <w:tcW w:w="19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A32A4D" w14:textId="77777777" w:rsidR="0083004B" w:rsidRDefault="00E14A9E">
            <w:pPr>
              <w:spacing w:line="276" w:lineRule="auto"/>
              <w:ind w:left="-20" w:right="-20"/>
              <w:jc w:val="center"/>
              <w:rPr>
                <w:rFonts w:ascii="Garamond" w:eastAsia="Garamond" w:hAnsi="Garamond" w:cs="Garamond"/>
                <w:color w:val="000000"/>
                <w:sz w:val="20"/>
                <w:szCs w:val="20"/>
              </w:rPr>
            </w:pPr>
            <w:r>
              <w:rPr>
                <w:rFonts w:ascii="Garamond" w:eastAsia="Garamond" w:hAnsi="Garamond" w:cs="Garamond"/>
                <w:color w:val="000000"/>
                <w:sz w:val="20"/>
                <w:szCs w:val="20"/>
              </w:rPr>
              <w:t>Temperature °C</w:t>
            </w:r>
          </w:p>
        </w:tc>
        <w:tc>
          <w:tcPr>
            <w:tcW w:w="1694" w:type="dxa"/>
            <w:vMerge w:val="restart"/>
            <w:tcBorders>
              <w:top w:val="single" w:sz="8" w:space="0" w:color="000000"/>
              <w:left w:val="single" w:sz="8" w:space="0" w:color="000000"/>
              <w:right w:val="single" w:sz="8" w:space="0" w:color="000000"/>
            </w:tcBorders>
            <w:tcMar>
              <w:left w:w="108" w:type="dxa"/>
              <w:right w:w="108" w:type="dxa"/>
            </w:tcMar>
            <w:vAlign w:val="center"/>
          </w:tcPr>
          <w:p w14:paraId="2DA32A4E" w14:textId="77777777" w:rsidR="0083004B" w:rsidRDefault="00E14A9E">
            <w:pPr>
              <w:spacing w:line="276" w:lineRule="auto"/>
              <w:ind w:left="-20" w:right="-20"/>
              <w:jc w:val="center"/>
              <w:rPr>
                <w:rFonts w:ascii="Garamond" w:eastAsia="Garamond" w:hAnsi="Garamond" w:cs="Garamond"/>
                <w:sz w:val="20"/>
                <w:szCs w:val="20"/>
              </w:rPr>
            </w:pPr>
            <w:r>
              <w:rPr>
                <w:rFonts w:ascii="Garamond" w:eastAsia="Garamond" w:hAnsi="Garamond" w:cs="Garamond"/>
                <w:sz w:val="20"/>
                <w:szCs w:val="20"/>
              </w:rPr>
              <w:t xml:space="preserve">Virtual Crossing Meteorological Data </w:t>
            </w:r>
          </w:p>
        </w:tc>
        <w:tc>
          <w:tcPr>
            <w:tcW w:w="2422" w:type="dxa"/>
            <w:vMerge w:val="restart"/>
            <w:tcBorders>
              <w:top w:val="single" w:sz="8" w:space="0" w:color="000000"/>
              <w:left w:val="single" w:sz="8" w:space="0" w:color="000000"/>
              <w:right w:val="single" w:sz="8" w:space="0" w:color="000000"/>
            </w:tcBorders>
            <w:tcMar>
              <w:left w:w="108" w:type="dxa"/>
              <w:right w:w="108" w:type="dxa"/>
            </w:tcMar>
            <w:vAlign w:val="center"/>
          </w:tcPr>
          <w:p w14:paraId="2DA32A4F" w14:textId="77777777" w:rsidR="0083004B" w:rsidRDefault="00E14A9E">
            <w:pPr>
              <w:spacing w:line="276" w:lineRule="auto"/>
              <w:ind w:left="-20" w:right="-20"/>
              <w:jc w:val="center"/>
              <w:rPr>
                <w:rFonts w:ascii="Garamond" w:eastAsia="Garamond" w:hAnsi="Garamond" w:cs="Garamond"/>
                <w:sz w:val="20"/>
                <w:szCs w:val="20"/>
              </w:rPr>
            </w:pPr>
            <w:r>
              <w:rPr>
                <w:rFonts w:ascii="Garamond" w:eastAsia="Garamond" w:hAnsi="Garamond" w:cs="Garamond"/>
                <w:sz w:val="20"/>
                <w:szCs w:val="20"/>
              </w:rPr>
              <w:t>Meteorological Data input for SOLWEIG</w:t>
            </w:r>
          </w:p>
        </w:tc>
        <w:tc>
          <w:tcPr>
            <w:tcW w:w="1208" w:type="dxa"/>
            <w:vMerge w:val="restart"/>
            <w:tcBorders>
              <w:top w:val="single" w:sz="8" w:space="0" w:color="000000"/>
              <w:left w:val="single" w:sz="8" w:space="0" w:color="000000"/>
              <w:right w:val="single" w:sz="8" w:space="0" w:color="000000"/>
            </w:tcBorders>
            <w:tcMar>
              <w:left w:w="108" w:type="dxa"/>
              <w:right w:w="108" w:type="dxa"/>
            </w:tcMar>
            <w:vAlign w:val="center"/>
          </w:tcPr>
          <w:p w14:paraId="2DA32A50" w14:textId="77777777" w:rsidR="0083004B" w:rsidRDefault="00E14A9E">
            <w:pPr>
              <w:ind w:right="-20"/>
              <w:rPr>
                <w:rFonts w:ascii="Garamond" w:eastAsia="Garamond" w:hAnsi="Garamond" w:cs="Garamond"/>
                <w:color w:val="000000"/>
                <w:sz w:val="20"/>
                <w:szCs w:val="20"/>
              </w:rPr>
            </w:pPr>
            <w:r>
              <w:rPr>
                <w:rFonts w:ascii="Garamond" w:eastAsia="Garamond" w:hAnsi="Garamond" w:cs="Garamond"/>
                <w:color w:val="000000"/>
                <w:sz w:val="20"/>
                <w:szCs w:val="20"/>
              </w:rPr>
              <w:t>08/15/2023</w:t>
            </w:r>
          </w:p>
        </w:tc>
        <w:tc>
          <w:tcPr>
            <w:tcW w:w="1882" w:type="dxa"/>
            <w:vMerge w:val="restart"/>
            <w:tcBorders>
              <w:top w:val="single" w:sz="8" w:space="0" w:color="000000"/>
              <w:left w:val="single" w:sz="8" w:space="0" w:color="000000"/>
            </w:tcBorders>
            <w:tcMar>
              <w:left w:w="108" w:type="dxa"/>
              <w:right w:w="108" w:type="dxa"/>
            </w:tcMar>
            <w:vAlign w:val="center"/>
          </w:tcPr>
          <w:p w14:paraId="2DA32A51" w14:textId="77777777" w:rsidR="0083004B" w:rsidRDefault="00E14A9E">
            <w:pPr>
              <w:spacing w:line="276" w:lineRule="auto"/>
              <w:ind w:left="-20" w:right="-20"/>
              <w:jc w:val="center"/>
              <w:rPr>
                <w:rFonts w:ascii="Garamond" w:eastAsia="Garamond" w:hAnsi="Garamond" w:cs="Garamond"/>
                <w:sz w:val="20"/>
                <w:szCs w:val="20"/>
              </w:rPr>
            </w:pPr>
            <w:r>
              <w:rPr>
                <w:rFonts w:ascii="Garamond" w:eastAsia="Garamond" w:hAnsi="Garamond" w:cs="Garamond"/>
                <w:sz w:val="20"/>
                <w:szCs w:val="20"/>
              </w:rPr>
              <w:t>Comma Separated Values (.csv)</w:t>
            </w:r>
          </w:p>
          <w:p w14:paraId="2DA32A52" w14:textId="77777777" w:rsidR="0083004B" w:rsidRDefault="0083004B">
            <w:pPr>
              <w:spacing w:line="276" w:lineRule="auto"/>
              <w:ind w:right="-20"/>
              <w:rPr>
                <w:rFonts w:ascii="Garamond" w:eastAsia="Garamond" w:hAnsi="Garamond" w:cs="Garamond"/>
                <w:sz w:val="20"/>
                <w:szCs w:val="20"/>
              </w:rPr>
            </w:pPr>
          </w:p>
        </w:tc>
      </w:tr>
      <w:tr w:rsidR="0083004B" w14:paraId="2DA32A59" w14:textId="77777777">
        <w:trPr>
          <w:trHeight w:val="700"/>
        </w:trPr>
        <w:tc>
          <w:tcPr>
            <w:tcW w:w="19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A32A54"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Relative Humidity (%)</w:t>
            </w:r>
          </w:p>
        </w:tc>
        <w:tc>
          <w:tcPr>
            <w:tcW w:w="1694" w:type="dxa"/>
            <w:vMerge/>
            <w:tcBorders>
              <w:top w:val="single" w:sz="8" w:space="0" w:color="000000"/>
              <w:left w:val="single" w:sz="8" w:space="0" w:color="000000"/>
              <w:right w:val="single" w:sz="8" w:space="0" w:color="000000"/>
            </w:tcBorders>
            <w:tcMar>
              <w:left w:w="108" w:type="dxa"/>
              <w:right w:w="108" w:type="dxa"/>
            </w:tcMar>
            <w:vAlign w:val="center"/>
          </w:tcPr>
          <w:p w14:paraId="2DA32A55"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2422" w:type="dxa"/>
            <w:vMerge/>
            <w:tcBorders>
              <w:top w:val="single" w:sz="8" w:space="0" w:color="000000"/>
              <w:left w:val="single" w:sz="8" w:space="0" w:color="000000"/>
              <w:right w:val="single" w:sz="8" w:space="0" w:color="000000"/>
            </w:tcBorders>
            <w:tcMar>
              <w:left w:w="108" w:type="dxa"/>
              <w:right w:w="108" w:type="dxa"/>
            </w:tcMar>
            <w:vAlign w:val="center"/>
          </w:tcPr>
          <w:p w14:paraId="2DA32A56"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1208" w:type="dxa"/>
            <w:vMerge/>
            <w:tcBorders>
              <w:top w:val="single" w:sz="8" w:space="0" w:color="000000"/>
              <w:left w:val="single" w:sz="8" w:space="0" w:color="000000"/>
              <w:right w:val="single" w:sz="8" w:space="0" w:color="000000"/>
            </w:tcBorders>
            <w:tcMar>
              <w:left w:w="108" w:type="dxa"/>
              <w:right w:w="108" w:type="dxa"/>
            </w:tcMar>
            <w:vAlign w:val="center"/>
          </w:tcPr>
          <w:p w14:paraId="2DA32A57"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1882" w:type="dxa"/>
            <w:vMerge/>
            <w:tcBorders>
              <w:top w:val="single" w:sz="8" w:space="0" w:color="000000"/>
              <w:left w:val="single" w:sz="8" w:space="0" w:color="000000"/>
            </w:tcBorders>
            <w:tcMar>
              <w:left w:w="108" w:type="dxa"/>
              <w:right w:w="108" w:type="dxa"/>
            </w:tcMar>
            <w:vAlign w:val="center"/>
          </w:tcPr>
          <w:p w14:paraId="2DA32A58"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r>
      <w:tr w:rsidR="0083004B" w14:paraId="2DA32A5F" w14:textId="77777777">
        <w:trPr>
          <w:trHeight w:val="360"/>
        </w:trPr>
        <w:tc>
          <w:tcPr>
            <w:tcW w:w="19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A32A5A"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Incident shortwave radiation (</w:t>
            </w:r>
            <w:r>
              <w:rPr>
                <w:rFonts w:ascii="Garamond" w:eastAsia="Garamond" w:hAnsi="Garamond" w:cs="Garamond"/>
                <w:color w:val="404040"/>
                <w:sz w:val="20"/>
                <w:szCs w:val="20"/>
              </w:rPr>
              <w:t>W m</w:t>
            </w:r>
            <w:r>
              <w:rPr>
                <w:rFonts w:ascii="Garamond" w:eastAsia="Garamond" w:hAnsi="Garamond" w:cs="Garamond"/>
                <w:color w:val="404040"/>
                <w:sz w:val="20"/>
                <w:szCs w:val="20"/>
                <w:vertAlign w:val="superscript"/>
              </w:rPr>
              <w:t>-2)</w:t>
            </w:r>
          </w:p>
        </w:tc>
        <w:tc>
          <w:tcPr>
            <w:tcW w:w="1694" w:type="dxa"/>
            <w:vMerge/>
            <w:tcBorders>
              <w:top w:val="single" w:sz="8" w:space="0" w:color="000000"/>
              <w:left w:val="single" w:sz="8" w:space="0" w:color="000000"/>
              <w:right w:val="single" w:sz="8" w:space="0" w:color="000000"/>
            </w:tcBorders>
            <w:tcMar>
              <w:left w:w="108" w:type="dxa"/>
              <w:right w:w="108" w:type="dxa"/>
            </w:tcMar>
            <w:vAlign w:val="center"/>
          </w:tcPr>
          <w:p w14:paraId="2DA32A5B"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2422" w:type="dxa"/>
            <w:vMerge/>
            <w:tcBorders>
              <w:top w:val="single" w:sz="8" w:space="0" w:color="000000"/>
              <w:left w:val="single" w:sz="8" w:space="0" w:color="000000"/>
              <w:right w:val="single" w:sz="8" w:space="0" w:color="000000"/>
            </w:tcBorders>
            <w:tcMar>
              <w:left w:w="108" w:type="dxa"/>
              <w:right w:w="108" w:type="dxa"/>
            </w:tcMar>
            <w:vAlign w:val="center"/>
          </w:tcPr>
          <w:p w14:paraId="2DA32A5C"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1208" w:type="dxa"/>
            <w:vMerge/>
            <w:tcBorders>
              <w:top w:val="single" w:sz="8" w:space="0" w:color="000000"/>
              <w:left w:val="single" w:sz="8" w:space="0" w:color="000000"/>
              <w:right w:val="single" w:sz="8" w:space="0" w:color="000000"/>
            </w:tcBorders>
            <w:tcMar>
              <w:left w:w="108" w:type="dxa"/>
              <w:right w:w="108" w:type="dxa"/>
            </w:tcMar>
            <w:vAlign w:val="center"/>
          </w:tcPr>
          <w:p w14:paraId="2DA32A5D"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1882" w:type="dxa"/>
            <w:vMerge/>
            <w:tcBorders>
              <w:top w:val="single" w:sz="8" w:space="0" w:color="000000"/>
              <w:left w:val="single" w:sz="8" w:space="0" w:color="000000"/>
            </w:tcBorders>
            <w:tcMar>
              <w:left w:w="108" w:type="dxa"/>
              <w:right w:w="108" w:type="dxa"/>
            </w:tcMar>
            <w:vAlign w:val="center"/>
          </w:tcPr>
          <w:p w14:paraId="2DA32A5E"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r>
      <w:tr w:rsidR="0083004B" w14:paraId="2DA32A65" w14:textId="77777777">
        <w:trPr>
          <w:trHeight w:val="360"/>
        </w:trPr>
        <w:tc>
          <w:tcPr>
            <w:tcW w:w="19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A32A60"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Wind Speed (m/s)</w:t>
            </w:r>
          </w:p>
        </w:tc>
        <w:tc>
          <w:tcPr>
            <w:tcW w:w="1694" w:type="dxa"/>
            <w:vMerge/>
            <w:tcBorders>
              <w:top w:val="single" w:sz="8" w:space="0" w:color="000000"/>
              <w:left w:val="single" w:sz="8" w:space="0" w:color="000000"/>
              <w:right w:val="single" w:sz="8" w:space="0" w:color="000000"/>
            </w:tcBorders>
            <w:tcMar>
              <w:left w:w="108" w:type="dxa"/>
              <w:right w:w="108" w:type="dxa"/>
            </w:tcMar>
            <w:vAlign w:val="center"/>
          </w:tcPr>
          <w:p w14:paraId="2DA32A61"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2422" w:type="dxa"/>
            <w:vMerge/>
            <w:tcBorders>
              <w:top w:val="single" w:sz="8" w:space="0" w:color="000000"/>
              <w:left w:val="single" w:sz="8" w:space="0" w:color="000000"/>
              <w:right w:val="single" w:sz="8" w:space="0" w:color="000000"/>
            </w:tcBorders>
            <w:tcMar>
              <w:left w:w="108" w:type="dxa"/>
              <w:right w:w="108" w:type="dxa"/>
            </w:tcMar>
            <w:vAlign w:val="center"/>
          </w:tcPr>
          <w:p w14:paraId="2DA32A62"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1208" w:type="dxa"/>
            <w:vMerge/>
            <w:tcBorders>
              <w:top w:val="single" w:sz="8" w:space="0" w:color="000000"/>
              <w:left w:val="single" w:sz="8" w:space="0" w:color="000000"/>
              <w:right w:val="single" w:sz="8" w:space="0" w:color="000000"/>
            </w:tcBorders>
            <w:tcMar>
              <w:left w:w="108" w:type="dxa"/>
              <w:right w:w="108" w:type="dxa"/>
            </w:tcMar>
            <w:vAlign w:val="center"/>
          </w:tcPr>
          <w:p w14:paraId="2DA32A63"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1882" w:type="dxa"/>
            <w:vMerge/>
            <w:tcBorders>
              <w:top w:val="single" w:sz="8" w:space="0" w:color="000000"/>
              <w:left w:val="single" w:sz="8" w:space="0" w:color="000000"/>
            </w:tcBorders>
            <w:tcMar>
              <w:left w:w="108" w:type="dxa"/>
              <w:right w:w="108" w:type="dxa"/>
            </w:tcMar>
            <w:vAlign w:val="center"/>
          </w:tcPr>
          <w:p w14:paraId="2DA32A64"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r>
      <w:tr w:rsidR="0083004B" w14:paraId="2DA32A6B" w14:textId="77777777">
        <w:trPr>
          <w:trHeight w:val="360"/>
        </w:trPr>
        <w:tc>
          <w:tcPr>
            <w:tcW w:w="19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A32A66"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Precipitation (mm)</w:t>
            </w:r>
          </w:p>
        </w:tc>
        <w:tc>
          <w:tcPr>
            <w:tcW w:w="1694" w:type="dxa"/>
            <w:vMerge/>
            <w:tcBorders>
              <w:top w:val="single" w:sz="8" w:space="0" w:color="000000"/>
              <w:left w:val="single" w:sz="8" w:space="0" w:color="000000"/>
              <w:right w:val="single" w:sz="8" w:space="0" w:color="000000"/>
            </w:tcBorders>
            <w:tcMar>
              <w:left w:w="108" w:type="dxa"/>
              <w:right w:w="108" w:type="dxa"/>
            </w:tcMar>
            <w:vAlign w:val="center"/>
          </w:tcPr>
          <w:p w14:paraId="2DA32A67"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2422" w:type="dxa"/>
            <w:vMerge/>
            <w:tcBorders>
              <w:top w:val="single" w:sz="8" w:space="0" w:color="000000"/>
              <w:left w:val="single" w:sz="8" w:space="0" w:color="000000"/>
              <w:right w:val="single" w:sz="8" w:space="0" w:color="000000"/>
            </w:tcBorders>
            <w:tcMar>
              <w:left w:w="108" w:type="dxa"/>
              <w:right w:w="108" w:type="dxa"/>
            </w:tcMar>
            <w:vAlign w:val="center"/>
          </w:tcPr>
          <w:p w14:paraId="2DA32A68"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1208" w:type="dxa"/>
            <w:vMerge/>
            <w:tcBorders>
              <w:top w:val="single" w:sz="8" w:space="0" w:color="000000"/>
              <w:left w:val="single" w:sz="8" w:space="0" w:color="000000"/>
              <w:right w:val="single" w:sz="8" w:space="0" w:color="000000"/>
            </w:tcBorders>
            <w:tcMar>
              <w:left w:w="108" w:type="dxa"/>
              <w:right w:w="108" w:type="dxa"/>
            </w:tcMar>
            <w:vAlign w:val="center"/>
          </w:tcPr>
          <w:p w14:paraId="2DA32A69"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1882" w:type="dxa"/>
            <w:vMerge/>
            <w:tcBorders>
              <w:top w:val="single" w:sz="8" w:space="0" w:color="000000"/>
              <w:left w:val="single" w:sz="8" w:space="0" w:color="000000"/>
            </w:tcBorders>
            <w:tcMar>
              <w:left w:w="108" w:type="dxa"/>
              <w:right w:w="108" w:type="dxa"/>
            </w:tcMar>
            <w:vAlign w:val="center"/>
          </w:tcPr>
          <w:p w14:paraId="2DA32A6A"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r>
      <w:tr w:rsidR="0083004B" w14:paraId="2DA32A72" w14:textId="77777777">
        <w:trPr>
          <w:trHeight w:val="360"/>
        </w:trPr>
        <w:tc>
          <w:tcPr>
            <w:tcW w:w="19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A32A6C" w14:textId="77777777" w:rsidR="0083004B" w:rsidRDefault="00E14A9E">
            <w:pPr>
              <w:spacing w:line="276" w:lineRule="auto"/>
              <w:ind w:left="-20" w:right="-20"/>
              <w:jc w:val="center"/>
              <w:rPr>
                <w:rFonts w:ascii="Garamond" w:eastAsia="Garamond" w:hAnsi="Garamond" w:cs="Garamond"/>
                <w:color w:val="000000"/>
                <w:sz w:val="20"/>
                <w:szCs w:val="20"/>
              </w:rPr>
            </w:pPr>
            <w:r>
              <w:rPr>
                <w:rFonts w:ascii="Garamond" w:eastAsia="Garamond" w:hAnsi="Garamond" w:cs="Garamond"/>
                <w:color w:val="000000"/>
                <w:sz w:val="20"/>
                <w:szCs w:val="20"/>
              </w:rPr>
              <w:t>Digital Elevation Model (DEM)</w:t>
            </w:r>
          </w:p>
        </w:tc>
        <w:tc>
          <w:tcPr>
            <w:tcW w:w="1694" w:type="dxa"/>
            <w:vMerge w:val="restart"/>
            <w:tcBorders>
              <w:top w:val="single" w:sz="8" w:space="0" w:color="000000"/>
              <w:left w:val="single" w:sz="8" w:space="0" w:color="000000"/>
              <w:right w:val="single" w:sz="8" w:space="0" w:color="000000"/>
            </w:tcBorders>
            <w:tcMar>
              <w:left w:w="108" w:type="dxa"/>
              <w:right w:w="108" w:type="dxa"/>
            </w:tcMar>
            <w:vAlign w:val="center"/>
          </w:tcPr>
          <w:p w14:paraId="2DA32A6D" w14:textId="77777777" w:rsidR="0083004B" w:rsidRDefault="00E14A9E">
            <w:pPr>
              <w:spacing w:line="276" w:lineRule="auto"/>
              <w:ind w:left="-20" w:right="-20"/>
              <w:jc w:val="center"/>
              <w:rPr>
                <w:rFonts w:ascii="Garamond" w:eastAsia="Garamond" w:hAnsi="Garamond" w:cs="Garamond"/>
                <w:sz w:val="20"/>
                <w:szCs w:val="20"/>
              </w:rPr>
            </w:pPr>
            <w:r>
              <w:rPr>
                <w:rFonts w:ascii="Garamond" w:eastAsia="Garamond" w:hAnsi="Garamond" w:cs="Garamond"/>
                <w:sz w:val="20"/>
                <w:szCs w:val="20"/>
              </w:rPr>
              <w:t xml:space="preserve">LiDAR Point Cloud USGS National Map </w:t>
            </w:r>
          </w:p>
        </w:tc>
        <w:tc>
          <w:tcPr>
            <w:tcW w:w="24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A32A6E" w14:textId="77777777" w:rsidR="0083004B" w:rsidRDefault="00E14A9E">
            <w:pPr>
              <w:spacing w:line="276" w:lineRule="auto"/>
              <w:ind w:left="-20" w:right="-20"/>
              <w:jc w:val="center"/>
              <w:rPr>
                <w:rFonts w:ascii="Garamond" w:eastAsia="Garamond" w:hAnsi="Garamond" w:cs="Garamond"/>
                <w:sz w:val="20"/>
                <w:szCs w:val="20"/>
                <w:vertAlign w:val="subscript"/>
              </w:rPr>
            </w:pPr>
            <w:r>
              <w:rPr>
                <w:rFonts w:ascii="Garamond" w:eastAsia="Garamond" w:hAnsi="Garamond" w:cs="Garamond"/>
                <w:color w:val="000000"/>
                <w:sz w:val="20"/>
                <w:szCs w:val="20"/>
              </w:rPr>
              <w:t xml:space="preserve">Input to SOLWEIG to model OTC and </w:t>
            </w:r>
            <w:r>
              <w:rPr>
                <w:rFonts w:ascii="Garamond" w:eastAsia="Garamond" w:hAnsi="Garamond" w:cs="Garamond"/>
                <w:sz w:val="20"/>
                <w:szCs w:val="20"/>
              </w:rPr>
              <w:t>T</w:t>
            </w:r>
            <w:r>
              <w:rPr>
                <w:rFonts w:ascii="Garamond" w:eastAsia="Garamond" w:hAnsi="Garamond" w:cs="Garamond"/>
                <w:sz w:val="20"/>
                <w:szCs w:val="20"/>
                <w:vertAlign w:val="subscript"/>
              </w:rPr>
              <w:t>MRT</w:t>
            </w:r>
          </w:p>
        </w:tc>
        <w:tc>
          <w:tcPr>
            <w:tcW w:w="1208" w:type="dxa"/>
            <w:vMerge w:val="restart"/>
            <w:tcBorders>
              <w:top w:val="single" w:sz="8" w:space="0" w:color="000000"/>
              <w:left w:val="single" w:sz="8" w:space="0" w:color="000000"/>
              <w:right w:val="single" w:sz="8" w:space="0" w:color="000000"/>
            </w:tcBorders>
            <w:tcMar>
              <w:left w:w="108" w:type="dxa"/>
              <w:right w:w="108" w:type="dxa"/>
            </w:tcMar>
            <w:vAlign w:val="center"/>
          </w:tcPr>
          <w:p w14:paraId="2DA32A6F" w14:textId="77777777" w:rsidR="0083004B" w:rsidRDefault="00E14A9E">
            <w:pPr>
              <w:spacing w:line="276" w:lineRule="auto"/>
              <w:ind w:left="-20" w:right="-20"/>
              <w:jc w:val="center"/>
              <w:rPr>
                <w:rFonts w:ascii="Garamond" w:eastAsia="Garamond" w:hAnsi="Garamond" w:cs="Garamond"/>
                <w:sz w:val="20"/>
                <w:szCs w:val="20"/>
              </w:rPr>
            </w:pPr>
            <w:r>
              <w:rPr>
                <w:rFonts w:ascii="Garamond" w:eastAsia="Garamond" w:hAnsi="Garamond" w:cs="Garamond"/>
                <w:sz w:val="20"/>
                <w:szCs w:val="20"/>
              </w:rPr>
              <w:t>09/16/2014</w:t>
            </w:r>
          </w:p>
          <w:p w14:paraId="2DA32A70" w14:textId="77777777" w:rsidR="0083004B" w:rsidRDefault="0083004B">
            <w:pPr>
              <w:spacing w:line="276" w:lineRule="auto"/>
              <w:ind w:left="-20" w:right="-20"/>
              <w:jc w:val="center"/>
              <w:rPr>
                <w:rFonts w:ascii="Garamond" w:eastAsia="Garamond" w:hAnsi="Garamond" w:cs="Garamond"/>
                <w:color w:val="000000"/>
                <w:sz w:val="20"/>
                <w:szCs w:val="20"/>
              </w:rPr>
            </w:pPr>
          </w:p>
        </w:tc>
        <w:tc>
          <w:tcPr>
            <w:tcW w:w="1882" w:type="dxa"/>
            <w:vMerge w:val="restart"/>
            <w:tcBorders>
              <w:top w:val="single" w:sz="8" w:space="0" w:color="000000"/>
              <w:left w:val="single" w:sz="8" w:space="0" w:color="000000"/>
              <w:right w:val="single" w:sz="8" w:space="0" w:color="000000"/>
            </w:tcBorders>
            <w:tcMar>
              <w:left w:w="108" w:type="dxa"/>
              <w:right w:w="108" w:type="dxa"/>
            </w:tcMar>
            <w:vAlign w:val="center"/>
          </w:tcPr>
          <w:p w14:paraId="2DA32A71" w14:textId="77777777" w:rsidR="0083004B" w:rsidRDefault="00E14A9E">
            <w:pPr>
              <w:spacing w:line="276" w:lineRule="auto"/>
              <w:ind w:left="-20" w:right="-20"/>
              <w:jc w:val="center"/>
              <w:rPr>
                <w:rFonts w:ascii="Garamond" w:eastAsia="Garamond" w:hAnsi="Garamond" w:cs="Garamond"/>
                <w:sz w:val="20"/>
                <w:szCs w:val="20"/>
              </w:rPr>
            </w:pPr>
            <w:r>
              <w:rPr>
                <w:rFonts w:ascii="Garamond" w:eastAsia="Garamond" w:hAnsi="Garamond" w:cs="Garamond"/>
                <w:sz w:val="20"/>
                <w:szCs w:val="20"/>
              </w:rPr>
              <w:t>Raster (.</w:t>
            </w:r>
            <w:proofErr w:type="spellStart"/>
            <w:r>
              <w:rPr>
                <w:rFonts w:ascii="Garamond" w:eastAsia="Garamond" w:hAnsi="Garamond" w:cs="Garamond"/>
                <w:sz w:val="20"/>
                <w:szCs w:val="20"/>
              </w:rPr>
              <w:t>tif</w:t>
            </w:r>
            <w:proofErr w:type="spellEnd"/>
            <w:r>
              <w:rPr>
                <w:rFonts w:ascii="Garamond" w:eastAsia="Garamond" w:hAnsi="Garamond" w:cs="Garamond"/>
                <w:sz w:val="20"/>
                <w:szCs w:val="20"/>
              </w:rPr>
              <w:t>)</w:t>
            </w:r>
          </w:p>
        </w:tc>
      </w:tr>
      <w:tr w:rsidR="0083004B" w14:paraId="2DA32A7A" w14:textId="77777777">
        <w:trPr>
          <w:trHeight w:val="360"/>
        </w:trPr>
        <w:tc>
          <w:tcPr>
            <w:tcW w:w="19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A32A73"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Digital Surface Model (DSM)</w:t>
            </w:r>
          </w:p>
        </w:tc>
        <w:tc>
          <w:tcPr>
            <w:tcW w:w="1694" w:type="dxa"/>
            <w:vMerge/>
            <w:tcBorders>
              <w:top w:val="single" w:sz="8" w:space="0" w:color="000000"/>
              <w:left w:val="single" w:sz="8" w:space="0" w:color="000000"/>
              <w:right w:val="single" w:sz="8" w:space="0" w:color="000000"/>
            </w:tcBorders>
            <w:tcMar>
              <w:left w:w="108" w:type="dxa"/>
              <w:right w:w="108" w:type="dxa"/>
            </w:tcMar>
            <w:vAlign w:val="center"/>
          </w:tcPr>
          <w:p w14:paraId="2DA32A74"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24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A32A75" w14:textId="77777777" w:rsidR="0083004B" w:rsidRDefault="00E14A9E">
            <w:pPr>
              <w:spacing w:line="276" w:lineRule="auto"/>
              <w:ind w:left="-20" w:right="-20"/>
              <w:jc w:val="center"/>
              <w:rPr>
                <w:rFonts w:ascii="Garamond" w:eastAsia="Garamond" w:hAnsi="Garamond" w:cs="Garamond"/>
                <w:color w:val="000000"/>
                <w:sz w:val="20"/>
                <w:szCs w:val="20"/>
              </w:rPr>
            </w:pPr>
            <w:r>
              <w:rPr>
                <w:rFonts w:ascii="Garamond" w:eastAsia="Garamond" w:hAnsi="Garamond" w:cs="Garamond"/>
                <w:color w:val="000000"/>
                <w:sz w:val="20"/>
                <w:szCs w:val="20"/>
              </w:rPr>
              <w:t>Generate Normalized Building and Tree Digital Surface Models (</w:t>
            </w:r>
            <w:proofErr w:type="spellStart"/>
            <w:r>
              <w:rPr>
                <w:rFonts w:ascii="Garamond" w:eastAsia="Garamond" w:hAnsi="Garamond" w:cs="Garamond"/>
                <w:color w:val="000000"/>
                <w:sz w:val="20"/>
                <w:szCs w:val="20"/>
              </w:rPr>
              <w:t>nDSM</w:t>
            </w:r>
            <w:proofErr w:type="spellEnd"/>
            <w:r>
              <w:rPr>
                <w:rFonts w:ascii="Garamond" w:eastAsia="Garamond" w:hAnsi="Garamond" w:cs="Garamond"/>
                <w:color w:val="000000"/>
                <w:sz w:val="20"/>
                <w:szCs w:val="20"/>
              </w:rPr>
              <w:t xml:space="preserve">) to model </w:t>
            </w:r>
            <w:r>
              <w:rPr>
                <w:rFonts w:ascii="Garamond" w:eastAsia="Garamond" w:hAnsi="Garamond" w:cs="Garamond"/>
                <w:sz w:val="20"/>
                <w:szCs w:val="20"/>
              </w:rPr>
              <w:t>T</w:t>
            </w:r>
            <w:r>
              <w:rPr>
                <w:rFonts w:ascii="Garamond" w:eastAsia="Garamond" w:hAnsi="Garamond" w:cs="Garamond"/>
                <w:sz w:val="20"/>
                <w:szCs w:val="20"/>
                <w:vertAlign w:val="subscript"/>
              </w:rPr>
              <w:t>MRT</w:t>
            </w:r>
            <w:r>
              <w:rPr>
                <w:rFonts w:ascii="Garamond" w:eastAsia="Garamond" w:hAnsi="Garamond" w:cs="Garamond"/>
                <w:color w:val="000000"/>
                <w:sz w:val="20"/>
                <w:szCs w:val="20"/>
              </w:rPr>
              <w:t xml:space="preserve"> in SOLWEIG</w:t>
            </w:r>
          </w:p>
          <w:p w14:paraId="2DA32A76" w14:textId="77777777" w:rsidR="0083004B" w:rsidRDefault="00E14A9E">
            <w:pPr>
              <w:spacing w:line="276" w:lineRule="auto"/>
              <w:ind w:left="-20" w:right="-20"/>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(DEM – DSM = </w:t>
            </w:r>
            <w:proofErr w:type="spellStart"/>
            <w:r>
              <w:rPr>
                <w:rFonts w:ascii="Garamond" w:eastAsia="Garamond" w:hAnsi="Garamond" w:cs="Garamond"/>
                <w:color w:val="000000"/>
                <w:sz w:val="20"/>
                <w:szCs w:val="20"/>
              </w:rPr>
              <w:t>nDSM</w:t>
            </w:r>
            <w:proofErr w:type="spellEnd"/>
            <w:r>
              <w:rPr>
                <w:rFonts w:ascii="Garamond" w:eastAsia="Garamond" w:hAnsi="Garamond" w:cs="Garamond"/>
                <w:color w:val="000000"/>
                <w:sz w:val="20"/>
                <w:szCs w:val="20"/>
              </w:rPr>
              <w:t>)</w:t>
            </w:r>
          </w:p>
          <w:p w14:paraId="2DA32A77" w14:textId="77777777" w:rsidR="0083004B" w:rsidRDefault="0083004B">
            <w:pPr>
              <w:spacing w:line="276" w:lineRule="auto"/>
              <w:rPr>
                <w:rFonts w:ascii="Garamond" w:eastAsia="Garamond" w:hAnsi="Garamond" w:cs="Garamond"/>
                <w:color w:val="000000"/>
                <w:sz w:val="20"/>
                <w:szCs w:val="20"/>
              </w:rPr>
            </w:pPr>
          </w:p>
        </w:tc>
        <w:tc>
          <w:tcPr>
            <w:tcW w:w="1208" w:type="dxa"/>
            <w:vMerge/>
            <w:tcBorders>
              <w:top w:val="single" w:sz="8" w:space="0" w:color="000000"/>
              <w:left w:val="single" w:sz="8" w:space="0" w:color="000000"/>
              <w:right w:val="single" w:sz="8" w:space="0" w:color="000000"/>
            </w:tcBorders>
            <w:tcMar>
              <w:left w:w="108" w:type="dxa"/>
              <w:right w:w="108" w:type="dxa"/>
            </w:tcMar>
            <w:vAlign w:val="center"/>
          </w:tcPr>
          <w:p w14:paraId="2DA32A78"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1882" w:type="dxa"/>
            <w:vMerge/>
            <w:tcBorders>
              <w:top w:val="single" w:sz="8" w:space="0" w:color="000000"/>
              <w:left w:val="single" w:sz="8" w:space="0" w:color="000000"/>
              <w:right w:val="single" w:sz="8" w:space="0" w:color="000000"/>
            </w:tcBorders>
            <w:tcMar>
              <w:left w:w="108" w:type="dxa"/>
              <w:right w:w="108" w:type="dxa"/>
            </w:tcMar>
            <w:vAlign w:val="center"/>
          </w:tcPr>
          <w:p w14:paraId="2DA32A79"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r>
      <w:tr w:rsidR="0083004B" w14:paraId="2DA32A82" w14:textId="77777777">
        <w:trPr>
          <w:trHeight w:val="360"/>
        </w:trPr>
        <w:tc>
          <w:tcPr>
            <w:tcW w:w="19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A32A7B" w14:textId="77777777" w:rsidR="0083004B" w:rsidRDefault="00E14A9E">
            <w:pPr>
              <w:spacing w:line="276" w:lineRule="auto"/>
              <w:ind w:left="-20" w:right="-20"/>
              <w:jc w:val="center"/>
              <w:rPr>
                <w:rFonts w:ascii="Garamond" w:eastAsia="Garamond" w:hAnsi="Garamond" w:cs="Garamond"/>
                <w:sz w:val="20"/>
                <w:szCs w:val="20"/>
              </w:rPr>
            </w:pPr>
            <w:r>
              <w:rPr>
                <w:rFonts w:ascii="Garamond" w:eastAsia="Garamond" w:hAnsi="Garamond" w:cs="Garamond"/>
                <w:sz w:val="20"/>
                <w:szCs w:val="20"/>
              </w:rPr>
              <w:t>Canopy Digital Surface Model</w:t>
            </w:r>
          </w:p>
          <w:p w14:paraId="2DA32A7C" w14:textId="77777777" w:rsidR="0083004B" w:rsidRDefault="00E14A9E">
            <w:pPr>
              <w:spacing w:line="276" w:lineRule="auto"/>
              <w:ind w:left="-20" w:right="-20"/>
              <w:jc w:val="center"/>
              <w:rPr>
                <w:rFonts w:ascii="Garamond" w:eastAsia="Garamond" w:hAnsi="Garamond" w:cs="Garamond"/>
                <w:sz w:val="20"/>
                <w:szCs w:val="20"/>
              </w:rPr>
            </w:pPr>
            <w:r>
              <w:rPr>
                <w:rFonts w:ascii="Garamond" w:eastAsia="Garamond" w:hAnsi="Garamond" w:cs="Garamond"/>
                <w:sz w:val="20"/>
                <w:szCs w:val="20"/>
              </w:rPr>
              <w:t>(CDSM)</w:t>
            </w:r>
          </w:p>
        </w:tc>
        <w:tc>
          <w:tcPr>
            <w:tcW w:w="1694" w:type="dxa"/>
            <w:vMerge/>
            <w:tcBorders>
              <w:top w:val="single" w:sz="8" w:space="0" w:color="000000"/>
              <w:left w:val="single" w:sz="8" w:space="0" w:color="000000"/>
              <w:right w:val="single" w:sz="8" w:space="0" w:color="000000"/>
            </w:tcBorders>
            <w:tcMar>
              <w:left w:w="108" w:type="dxa"/>
              <w:right w:w="108" w:type="dxa"/>
            </w:tcMar>
            <w:vAlign w:val="center"/>
          </w:tcPr>
          <w:p w14:paraId="2DA32A7D" w14:textId="77777777" w:rsidR="0083004B" w:rsidRDefault="0083004B">
            <w:pPr>
              <w:widowControl w:val="0"/>
              <w:pBdr>
                <w:top w:val="nil"/>
                <w:left w:val="nil"/>
                <w:bottom w:val="nil"/>
                <w:right w:val="nil"/>
                <w:between w:val="nil"/>
              </w:pBdr>
              <w:spacing w:line="276" w:lineRule="auto"/>
              <w:rPr>
                <w:rFonts w:ascii="Garamond" w:eastAsia="Garamond" w:hAnsi="Garamond" w:cs="Garamond"/>
                <w:sz w:val="20"/>
                <w:szCs w:val="20"/>
              </w:rPr>
            </w:pPr>
          </w:p>
        </w:tc>
        <w:tc>
          <w:tcPr>
            <w:tcW w:w="24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A32A7E" w14:textId="77777777" w:rsidR="0083004B" w:rsidRDefault="00E14A9E">
            <w:pPr>
              <w:spacing w:line="276" w:lineRule="auto"/>
              <w:ind w:left="-20" w:right="-20"/>
              <w:jc w:val="center"/>
              <w:rPr>
                <w:rFonts w:ascii="Garamond" w:eastAsia="Garamond" w:hAnsi="Garamond" w:cs="Garamond"/>
                <w:color w:val="000000"/>
                <w:sz w:val="20"/>
                <w:szCs w:val="20"/>
              </w:rPr>
            </w:pPr>
            <w:r>
              <w:rPr>
                <w:rFonts w:ascii="Garamond" w:eastAsia="Garamond" w:hAnsi="Garamond" w:cs="Garamond"/>
                <w:color w:val="000000"/>
                <w:sz w:val="20"/>
                <w:szCs w:val="20"/>
              </w:rPr>
              <w:t xml:space="preserve">Generate Building and Tree Digital Surface Models (DSM) to model </w:t>
            </w:r>
            <w:r>
              <w:rPr>
                <w:rFonts w:ascii="Garamond" w:eastAsia="Garamond" w:hAnsi="Garamond" w:cs="Garamond"/>
                <w:sz w:val="20"/>
                <w:szCs w:val="20"/>
              </w:rPr>
              <w:t>T</w:t>
            </w:r>
            <w:r>
              <w:rPr>
                <w:rFonts w:ascii="Garamond" w:eastAsia="Garamond" w:hAnsi="Garamond" w:cs="Garamond"/>
                <w:sz w:val="20"/>
                <w:szCs w:val="20"/>
                <w:vertAlign w:val="subscript"/>
              </w:rPr>
              <w:t>MRT</w:t>
            </w:r>
            <w:r>
              <w:rPr>
                <w:rFonts w:ascii="Garamond" w:eastAsia="Garamond" w:hAnsi="Garamond" w:cs="Garamond"/>
                <w:color w:val="000000"/>
                <w:sz w:val="20"/>
                <w:szCs w:val="20"/>
              </w:rPr>
              <w:t xml:space="preserve"> in SOLWEIG</w:t>
            </w:r>
          </w:p>
          <w:p w14:paraId="2DA32A7F" w14:textId="77777777" w:rsidR="0083004B" w:rsidRDefault="00E14A9E">
            <w:pPr>
              <w:spacing w:line="276" w:lineRule="auto"/>
              <w:ind w:left="-20" w:right="-20"/>
              <w:jc w:val="center"/>
              <w:rPr>
                <w:rFonts w:ascii="Garamond" w:eastAsia="Garamond" w:hAnsi="Garamond" w:cs="Garamond"/>
                <w:color w:val="000000"/>
                <w:sz w:val="20"/>
                <w:szCs w:val="20"/>
              </w:rPr>
            </w:pPr>
            <w:r>
              <w:rPr>
                <w:rFonts w:ascii="Garamond" w:eastAsia="Garamond" w:hAnsi="Garamond" w:cs="Garamond"/>
                <w:color w:val="000000"/>
                <w:sz w:val="20"/>
                <w:szCs w:val="20"/>
              </w:rPr>
              <w:t>(</w:t>
            </w:r>
            <w:proofErr w:type="spellStart"/>
            <w:r>
              <w:rPr>
                <w:rFonts w:ascii="Garamond" w:eastAsia="Garamond" w:hAnsi="Garamond" w:cs="Garamond"/>
                <w:color w:val="000000"/>
                <w:sz w:val="20"/>
                <w:szCs w:val="20"/>
              </w:rPr>
              <w:t>nDSM</w:t>
            </w:r>
            <w:proofErr w:type="spellEnd"/>
            <w:r>
              <w:rPr>
                <w:rFonts w:ascii="Garamond" w:eastAsia="Garamond" w:hAnsi="Garamond" w:cs="Garamond"/>
                <w:color w:val="000000"/>
                <w:sz w:val="20"/>
                <w:szCs w:val="20"/>
              </w:rPr>
              <w:t>-DEM=CHM)</w:t>
            </w:r>
          </w:p>
        </w:tc>
        <w:tc>
          <w:tcPr>
            <w:tcW w:w="1208" w:type="dxa"/>
            <w:vMerge/>
            <w:tcBorders>
              <w:top w:val="single" w:sz="8" w:space="0" w:color="000000"/>
              <w:left w:val="single" w:sz="8" w:space="0" w:color="000000"/>
              <w:right w:val="single" w:sz="8" w:space="0" w:color="000000"/>
            </w:tcBorders>
            <w:tcMar>
              <w:left w:w="108" w:type="dxa"/>
              <w:right w:w="108" w:type="dxa"/>
            </w:tcMar>
            <w:vAlign w:val="center"/>
          </w:tcPr>
          <w:p w14:paraId="2DA32A80"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c>
          <w:tcPr>
            <w:tcW w:w="1882" w:type="dxa"/>
            <w:vMerge/>
            <w:tcBorders>
              <w:top w:val="single" w:sz="8" w:space="0" w:color="000000"/>
              <w:left w:val="single" w:sz="8" w:space="0" w:color="000000"/>
              <w:right w:val="single" w:sz="8" w:space="0" w:color="000000"/>
            </w:tcBorders>
            <w:tcMar>
              <w:left w:w="108" w:type="dxa"/>
              <w:right w:w="108" w:type="dxa"/>
            </w:tcMar>
            <w:vAlign w:val="center"/>
          </w:tcPr>
          <w:p w14:paraId="2DA32A81"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r>
      <w:tr w:rsidR="0083004B" w14:paraId="2DA32A89" w14:textId="77777777">
        <w:trPr>
          <w:trHeight w:val="360"/>
        </w:trPr>
        <w:tc>
          <w:tcPr>
            <w:tcW w:w="195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A32A83" w14:textId="77777777" w:rsidR="0083004B" w:rsidRDefault="00E14A9E">
            <w:pPr>
              <w:jc w:val="center"/>
              <w:rPr>
                <w:rFonts w:ascii="Garamond" w:eastAsia="Garamond" w:hAnsi="Garamond" w:cs="Garamond"/>
                <w:color w:val="000000"/>
                <w:sz w:val="20"/>
                <w:szCs w:val="20"/>
              </w:rPr>
            </w:pPr>
            <w:r>
              <w:rPr>
                <w:rFonts w:ascii="Garamond" w:eastAsia="Garamond" w:hAnsi="Garamond" w:cs="Garamond"/>
                <w:color w:val="000000"/>
                <w:sz w:val="20"/>
                <w:szCs w:val="20"/>
              </w:rPr>
              <w:lastRenderedPageBreak/>
              <w:t>Land Cover</w:t>
            </w:r>
          </w:p>
        </w:tc>
        <w:tc>
          <w:tcPr>
            <w:tcW w:w="169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A32A84" w14:textId="77777777" w:rsidR="0083004B" w:rsidRDefault="00E14A9E">
            <w:pPr>
              <w:ind w:left="-20" w:right="-20"/>
              <w:jc w:val="center"/>
              <w:rPr>
                <w:rFonts w:ascii="Garamond" w:eastAsia="Garamond" w:hAnsi="Garamond" w:cs="Garamond"/>
                <w:sz w:val="20"/>
                <w:szCs w:val="20"/>
              </w:rPr>
            </w:pPr>
            <w:r>
              <w:rPr>
                <w:rFonts w:ascii="Garamond" w:eastAsia="Garamond" w:hAnsi="Garamond" w:cs="Garamond"/>
                <w:sz w:val="20"/>
                <w:szCs w:val="20"/>
              </w:rPr>
              <w:t>1-m NAIP Imagery via the Google Earth Engine Catalog</w:t>
            </w:r>
          </w:p>
        </w:tc>
        <w:tc>
          <w:tcPr>
            <w:tcW w:w="24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A32A85" w14:textId="77777777" w:rsidR="0083004B" w:rsidRDefault="00E14A9E">
            <w:pPr>
              <w:spacing w:line="276" w:lineRule="auto"/>
              <w:jc w:val="center"/>
              <w:rPr>
                <w:rFonts w:ascii="Garamond" w:eastAsia="Garamond" w:hAnsi="Garamond" w:cs="Garamond"/>
                <w:color w:val="000000"/>
                <w:sz w:val="20"/>
                <w:szCs w:val="20"/>
              </w:rPr>
            </w:pPr>
            <w:r>
              <w:rPr>
                <w:rFonts w:ascii="Garamond" w:eastAsia="Garamond" w:hAnsi="Garamond" w:cs="Garamond"/>
                <w:color w:val="000000"/>
                <w:sz w:val="20"/>
                <w:szCs w:val="20"/>
              </w:rPr>
              <w:t>Generate Land Cover Grid via supervised classification for SOLWEIG</w:t>
            </w:r>
          </w:p>
        </w:tc>
        <w:tc>
          <w:tcPr>
            <w:tcW w:w="120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A32A86" w14:textId="77777777" w:rsidR="0083004B" w:rsidRDefault="00E14A9E">
            <w:pPr>
              <w:spacing w:line="276" w:lineRule="auto"/>
              <w:ind w:left="-20" w:right="-20"/>
              <w:jc w:val="center"/>
              <w:rPr>
                <w:rFonts w:ascii="Garamond" w:eastAsia="Garamond" w:hAnsi="Garamond" w:cs="Garamond"/>
                <w:sz w:val="20"/>
                <w:szCs w:val="20"/>
              </w:rPr>
            </w:pPr>
            <w:r>
              <w:rPr>
                <w:rFonts w:ascii="Garamond" w:eastAsia="Garamond" w:hAnsi="Garamond" w:cs="Garamond"/>
                <w:sz w:val="20"/>
                <w:szCs w:val="20"/>
              </w:rPr>
              <w:t>June – October 2021</w:t>
            </w:r>
          </w:p>
          <w:p w14:paraId="2DA32A87" w14:textId="77777777" w:rsidR="0083004B" w:rsidRDefault="0083004B">
            <w:pPr>
              <w:jc w:val="center"/>
              <w:rPr>
                <w:rFonts w:ascii="Garamond" w:eastAsia="Garamond" w:hAnsi="Garamond" w:cs="Garamond"/>
                <w:color w:val="000000"/>
                <w:sz w:val="20"/>
                <w:szCs w:val="20"/>
              </w:rPr>
            </w:pPr>
          </w:p>
        </w:tc>
        <w:tc>
          <w:tcPr>
            <w:tcW w:w="1882" w:type="dxa"/>
            <w:vMerge/>
            <w:tcBorders>
              <w:top w:val="single" w:sz="8" w:space="0" w:color="000000"/>
              <w:left w:val="single" w:sz="8" w:space="0" w:color="000000"/>
              <w:right w:val="single" w:sz="8" w:space="0" w:color="000000"/>
            </w:tcBorders>
            <w:tcMar>
              <w:left w:w="108" w:type="dxa"/>
              <w:right w:w="108" w:type="dxa"/>
            </w:tcMar>
            <w:vAlign w:val="center"/>
          </w:tcPr>
          <w:p w14:paraId="2DA32A88" w14:textId="77777777" w:rsidR="0083004B" w:rsidRDefault="0083004B">
            <w:pPr>
              <w:widowControl w:val="0"/>
              <w:pBdr>
                <w:top w:val="nil"/>
                <w:left w:val="nil"/>
                <w:bottom w:val="nil"/>
                <w:right w:val="nil"/>
                <w:between w:val="nil"/>
              </w:pBdr>
              <w:spacing w:line="276" w:lineRule="auto"/>
              <w:rPr>
                <w:rFonts w:ascii="Garamond" w:eastAsia="Garamond" w:hAnsi="Garamond" w:cs="Garamond"/>
                <w:color w:val="000000"/>
                <w:sz w:val="20"/>
                <w:szCs w:val="20"/>
              </w:rPr>
            </w:pPr>
          </w:p>
        </w:tc>
      </w:tr>
    </w:tbl>
    <w:p w14:paraId="2DA32A8A" w14:textId="77777777" w:rsidR="0083004B" w:rsidRDefault="0083004B">
      <w:pPr>
        <w:rPr>
          <w:sz w:val="20"/>
          <w:szCs w:val="20"/>
        </w:rPr>
      </w:pPr>
    </w:p>
    <w:p w14:paraId="2DA32A8B"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i/>
          <w:color w:val="000000"/>
        </w:rPr>
        <w:t>3.2 Data Processing</w:t>
      </w:r>
    </w:p>
    <w:p w14:paraId="2DA32A8C" w14:textId="77777777" w:rsidR="0083004B" w:rsidRDefault="00E14A9E">
      <w:pPr>
        <w:spacing w:after="0" w:line="240" w:lineRule="auto"/>
        <w:rPr>
          <w:rFonts w:ascii="Garamond" w:eastAsia="Garamond" w:hAnsi="Garamond" w:cs="Garamond"/>
          <w:i/>
          <w:color w:val="000000"/>
        </w:rPr>
      </w:pPr>
      <w:r>
        <w:rPr>
          <w:rFonts w:ascii="Garamond" w:eastAsia="Garamond" w:hAnsi="Garamond" w:cs="Garamond"/>
          <w:i/>
          <w:color w:val="000000"/>
        </w:rPr>
        <w:t>3.2.1 Rural Reference</w:t>
      </w:r>
    </w:p>
    <w:p w14:paraId="2DA32A8D"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To assess the intensity of heat in Baltimore City, we needed to identify a rural reference, or a point of comparison of the magnitude of heat between an urban and non-urban space (Martin-Vide et al., 2015). Given that our study area covers Baltimore County, which contains rural and undeveloped tracts of land, the upper quartile of Baltimore County served, by proxy, as our rural reference. This allowed us to establish the intensity of heat centered in Baltimore City and its expanding transit corridors. </w:t>
      </w:r>
    </w:p>
    <w:p w14:paraId="2DA32A8E" w14:textId="77777777" w:rsidR="0083004B" w:rsidRDefault="0083004B">
      <w:pPr>
        <w:spacing w:after="0" w:line="240" w:lineRule="auto"/>
        <w:rPr>
          <w:rFonts w:ascii="Garamond" w:eastAsia="Garamond" w:hAnsi="Garamond" w:cs="Garamond"/>
          <w:color w:val="000000"/>
        </w:rPr>
      </w:pPr>
    </w:p>
    <w:p w14:paraId="2DA32A8F" w14:textId="77777777" w:rsidR="0083004B" w:rsidRDefault="00E14A9E">
      <w:pPr>
        <w:spacing w:after="0" w:line="240" w:lineRule="auto"/>
        <w:rPr>
          <w:rFonts w:ascii="Garamond" w:eastAsia="Garamond" w:hAnsi="Garamond" w:cs="Garamond"/>
          <w:i/>
          <w:color w:val="000000"/>
        </w:rPr>
      </w:pPr>
      <w:r>
        <w:rPr>
          <w:rFonts w:ascii="Garamond" w:eastAsia="Garamond" w:hAnsi="Garamond" w:cs="Garamond"/>
          <w:i/>
          <w:color w:val="000000"/>
        </w:rPr>
        <w:t xml:space="preserve">3.2.2 Heat Island Assessment </w:t>
      </w:r>
    </w:p>
    <w:p w14:paraId="2DA32A90" w14:textId="77777777" w:rsidR="0083004B" w:rsidRDefault="00E14A9E">
      <w:pPr>
        <w:spacing w:after="0" w:line="240" w:lineRule="auto"/>
        <w:jc w:val="both"/>
        <w:rPr>
          <w:rFonts w:ascii="Garamond" w:eastAsia="Garamond" w:hAnsi="Garamond" w:cs="Garamond"/>
        </w:rPr>
      </w:pPr>
      <w:r>
        <w:rPr>
          <w:rFonts w:ascii="Garamond" w:eastAsia="Garamond" w:hAnsi="Garamond" w:cs="Garamond"/>
          <w:color w:val="000000"/>
        </w:rPr>
        <w:t>Due to the high volume of data processed over the 10-year study period, Google Earth Engine was used to acquire, process, and analyze all of the Earth observations used for the heat island assessment. We utilized a set of code that was adapted and published by a previous DEVELOP team, Tempe Arizona II from Fall of 2020,</w:t>
      </w:r>
      <w:r>
        <w:rPr>
          <w:rFonts w:ascii="Garamond" w:eastAsia="Garamond" w:hAnsi="Garamond" w:cs="Garamond"/>
        </w:rPr>
        <w:t xml:space="preserve"> to evaluate and assess urban heat data </w:t>
      </w:r>
      <w:r>
        <w:rPr>
          <w:rFonts w:ascii="Garamond" w:eastAsia="Garamond" w:hAnsi="Garamond" w:cs="Garamond"/>
          <w:color w:val="000000"/>
        </w:rPr>
        <w:t>(</w:t>
      </w:r>
      <w:r>
        <w:rPr>
          <w:rFonts w:ascii="Garamond" w:eastAsia="Garamond" w:hAnsi="Garamond" w:cs="Garamond"/>
        </w:rPr>
        <w:t>Boogaard et al., 2020). We adapted the code to the study area of Baltimore City and Baltimore County, over the study period of June 15</w:t>
      </w:r>
      <w:r>
        <w:rPr>
          <w:rFonts w:ascii="Garamond" w:eastAsia="Garamond" w:hAnsi="Garamond" w:cs="Garamond"/>
          <w:vertAlign w:val="superscript"/>
        </w:rPr>
        <w:t>th</w:t>
      </w:r>
      <w:r>
        <w:rPr>
          <w:rFonts w:ascii="Garamond" w:eastAsia="Garamond" w:hAnsi="Garamond" w:cs="Garamond"/>
        </w:rPr>
        <w:t xml:space="preserve"> to September 15</w:t>
      </w:r>
      <w:r>
        <w:rPr>
          <w:rFonts w:ascii="Garamond" w:eastAsia="Garamond" w:hAnsi="Garamond" w:cs="Garamond"/>
          <w:vertAlign w:val="superscript"/>
        </w:rPr>
        <w:t>th</w:t>
      </w:r>
      <w:r>
        <w:rPr>
          <w:rFonts w:ascii="Garamond" w:eastAsia="Garamond" w:hAnsi="Garamond" w:cs="Garamond"/>
        </w:rPr>
        <w:t xml:space="preserve">, 2013 – 2023. A study period of 10 years was used to aggregate enough data from Landsat 8, which only provides coverage of Baltimore every 16-days and is sometimes unusable due to excess cloud coverage. Aqua MODIS and Terra MODIS, however, provide an average pixel per eight days and more consistent coverage but at the compromise of a lower resolution.  </w:t>
      </w:r>
    </w:p>
    <w:p w14:paraId="2DA32A91" w14:textId="77777777" w:rsidR="0083004B" w:rsidRDefault="0083004B">
      <w:pPr>
        <w:spacing w:after="0" w:line="240" w:lineRule="auto"/>
        <w:jc w:val="both"/>
        <w:rPr>
          <w:rFonts w:ascii="Garamond" w:eastAsia="Garamond" w:hAnsi="Garamond" w:cs="Garamond"/>
        </w:rPr>
      </w:pPr>
    </w:p>
    <w:p w14:paraId="2DA32A92" w14:textId="77777777" w:rsidR="0083004B" w:rsidRDefault="00E14A9E">
      <w:pPr>
        <w:spacing w:after="0" w:line="240" w:lineRule="auto"/>
        <w:jc w:val="both"/>
        <w:rPr>
          <w:rFonts w:ascii="Garamond" w:eastAsia="Garamond" w:hAnsi="Garamond" w:cs="Garamond"/>
          <w:color w:val="000000"/>
        </w:rPr>
      </w:pPr>
      <w:r>
        <w:rPr>
          <w:rFonts w:ascii="Garamond" w:eastAsia="Garamond" w:hAnsi="Garamond" w:cs="Garamond"/>
        </w:rPr>
        <w:t xml:space="preserve">First, </w:t>
      </w:r>
      <w:r>
        <w:rPr>
          <w:rFonts w:ascii="Garamond" w:eastAsia="Garamond" w:hAnsi="Garamond" w:cs="Garamond"/>
          <w:color w:val="000000"/>
        </w:rPr>
        <w:t>LST was acquired directly from the Landsat 8 Thermal Band 10. Normalized Difference Vegetation Index (NDVI) was calculated using the Near Infrared (NIR) and red bands. Normalized Difference Built-up Index (NDBI) was calculated using the Shortwave Infrared (SWIR) 1 and NIR bands. Finally, median albedo, or solar reflexivity, was calculated using NIR, SWIR1, SWIR2, Red, Green, and Blue Bands. A Land surface temperature and emissivity product from Terra MODIS was used to access nighttime LST. Lastly, a surface reflectance product from Aqua MODIS was used to calculate Normalized Difference Water Index (NDWI). All equations used and their corresponding citations can be found in Table 4 (Below). All Earth observation data was masked for cloud cover and water bodies as written in UHEAT 1.0. Thus, cloud and water pixels were excluded from final surface temperature and reflectance calculations. In preparation for analysis, all temperature calculations were converted from Kelvin to Fahrenheit and exported in a csv format.</w:t>
      </w:r>
    </w:p>
    <w:p w14:paraId="2DA32A93" w14:textId="77777777" w:rsidR="0083004B" w:rsidRDefault="0083004B">
      <w:pPr>
        <w:spacing w:after="0" w:line="240" w:lineRule="auto"/>
        <w:rPr>
          <w:rFonts w:ascii="Garamond" w:eastAsia="Garamond" w:hAnsi="Garamond" w:cs="Garamond"/>
          <w:color w:val="000000"/>
        </w:rPr>
      </w:pPr>
    </w:p>
    <w:p w14:paraId="2DA32A94"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Table 4 </w:t>
      </w:r>
    </w:p>
    <w:p w14:paraId="2DA32A95" w14:textId="77777777" w:rsidR="0083004B" w:rsidRDefault="00E14A9E">
      <w:pPr>
        <w:spacing w:after="0" w:line="240" w:lineRule="auto"/>
        <w:rPr>
          <w:rFonts w:ascii="Garamond" w:eastAsia="Garamond" w:hAnsi="Garamond" w:cs="Garamond"/>
          <w:i/>
          <w:color w:val="000000"/>
        </w:rPr>
      </w:pPr>
      <w:r>
        <w:rPr>
          <w:rFonts w:ascii="Garamond" w:eastAsia="Garamond" w:hAnsi="Garamond" w:cs="Garamond"/>
          <w:i/>
          <w:color w:val="000000"/>
        </w:rPr>
        <w:t>Equations and products for deriving environmental indices.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5400"/>
        <w:gridCol w:w="1795"/>
      </w:tblGrid>
      <w:tr w:rsidR="0083004B" w14:paraId="2DA32A99" w14:textId="77777777">
        <w:trPr>
          <w:trHeight w:val="395"/>
        </w:trPr>
        <w:tc>
          <w:tcPr>
            <w:tcW w:w="2155" w:type="dxa"/>
          </w:tcPr>
          <w:p w14:paraId="2DA32A96" w14:textId="77777777" w:rsidR="0083004B" w:rsidRDefault="00E14A9E">
            <w:pPr>
              <w:jc w:val="center"/>
              <w:rPr>
                <w:rFonts w:ascii="Garamond" w:eastAsia="Garamond" w:hAnsi="Garamond" w:cs="Garamond"/>
                <w:b/>
                <w:color w:val="000000"/>
              </w:rPr>
            </w:pPr>
            <w:r>
              <w:rPr>
                <w:rFonts w:ascii="Garamond" w:eastAsia="Garamond" w:hAnsi="Garamond" w:cs="Garamond"/>
                <w:b/>
                <w:color w:val="000000"/>
              </w:rPr>
              <w:t>Name</w:t>
            </w:r>
          </w:p>
        </w:tc>
        <w:tc>
          <w:tcPr>
            <w:tcW w:w="5400" w:type="dxa"/>
          </w:tcPr>
          <w:p w14:paraId="2DA32A97" w14:textId="77777777" w:rsidR="0083004B" w:rsidRDefault="00E14A9E">
            <w:pPr>
              <w:jc w:val="center"/>
              <w:rPr>
                <w:rFonts w:ascii="Garamond" w:eastAsia="Garamond" w:hAnsi="Garamond" w:cs="Garamond"/>
                <w:b/>
                <w:color w:val="000000"/>
              </w:rPr>
            </w:pPr>
            <w:r>
              <w:rPr>
                <w:rFonts w:ascii="Garamond" w:eastAsia="Garamond" w:hAnsi="Garamond" w:cs="Garamond"/>
                <w:b/>
                <w:color w:val="000000"/>
              </w:rPr>
              <w:t>Equation/Product</w:t>
            </w:r>
          </w:p>
        </w:tc>
        <w:tc>
          <w:tcPr>
            <w:tcW w:w="1795" w:type="dxa"/>
          </w:tcPr>
          <w:p w14:paraId="2DA32A98" w14:textId="77777777" w:rsidR="0083004B" w:rsidRDefault="00E14A9E">
            <w:pPr>
              <w:jc w:val="center"/>
              <w:rPr>
                <w:rFonts w:ascii="Garamond" w:eastAsia="Garamond" w:hAnsi="Garamond" w:cs="Garamond"/>
                <w:b/>
                <w:color w:val="000000"/>
              </w:rPr>
            </w:pPr>
            <w:r>
              <w:rPr>
                <w:rFonts w:ascii="Garamond" w:eastAsia="Garamond" w:hAnsi="Garamond" w:cs="Garamond"/>
                <w:b/>
                <w:color w:val="000000"/>
              </w:rPr>
              <w:t xml:space="preserve">Citation </w:t>
            </w:r>
          </w:p>
        </w:tc>
      </w:tr>
      <w:tr w:rsidR="0083004B" w14:paraId="2DA32A9E" w14:textId="77777777">
        <w:trPr>
          <w:trHeight w:val="687"/>
        </w:trPr>
        <w:tc>
          <w:tcPr>
            <w:tcW w:w="2155" w:type="dxa"/>
          </w:tcPr>
          <w:p w14:paraId="2DA32A9A" w14:textId="77777777" w:rsidR="0083004B" w:rsidRDefault="00E14A9E">
            <w:pPr>
              <w:jc w:val="center"/>
              <w:rPr>
                <w:rFonts w:ascii="Garamond" w:eastAsia="Garamond" w:hAnsi="Garamond" w:cs="Garamond"/>
                <w:color w:val="000000"/>
              </w:rPr>
            </w:pPr>
            <w:r>
              <w:rPr>
                <w:rFonts w:ascii="Garamond" w:eastAsia="Garamond" w:hAnsi="Garamond" w:cs="Garamond"/>
                <w:color w:val="000000"/>
              </w:rPr>
              <w:t>Daytime LST</w:t>
            </w:r>
          </w:p>
        </w:tc>
        <w:tc>
          <w:tcPr>
            <w:tcW w:w="5400" w:type="dxa"/>
          </w:tcPr>
          <w:p w14:paraId="2DA32A9B" w14:textId="77777777" w:rsidR="0083004B" w:rsidRDefault="00E14A9E">
            <w:pPr>
              <w:jc w:val="center"/>
              <w:rPr>
                <w:rFonts w:ascii="Garamond" w:eastAsia="Garamond" w:hAnsi="Garamond" w:cs="Garamond"/>
                <w:color w:val="000000"/>
              </w:rPr>
            </w:pPr>
            <w:r>
              <w:rPr>
                <w:rFonts w:ascii="Garamond" w:eastAsia="Garamond" w:hAnsi="Garamond" w:cs="Garamond"/>
                <w:color w:val="000000"/>
              </w:rPr>
              <w:t>Sensor: Landsat 8 TIRS</w:t>
            </w:r>
          </w:p>
          <w:p w14:paraId="2DA32A9C" w14:textId="77777777" w:rsidR="0083004B" w:rsidRDefault="00E14A9E">
            <w:pPr>
              <w:jc w:val="center"/>
              <w:rPr>
                <w:rFonts w:ascii="Garamond" w:eastAsia="Garamond" w:hAnsi="Garamond" w:cs="Garamond"/>
                <w:color w:val="000000"/>
              </w:rPr>
            </w:pPr>
            <w:r>
              <w:rPr>
                <w:rFonts w:ascii="Garamond" w:eastAsia="Garamond" w:hAnsi="Garamond" w:cs="Garamond"/>
                <w:color w:val="000000"/>
              </w:rPr>
              <w:t>Band: ST_B10</w:t>
            </w:r>
          </w:p>
        </w:tc>
        <w:tc>
          <w:tcPr>
            <w:tcW w:w="1795" w:type="dxa"/>
          </w:tcPr>
          <w:p w14:paraId="2DA32A9D" w14:textId="77777777" w:rsidR="0083004B" w:rsidRDefault="00E14A9E">
            <w:pPr>
              <w:jc w:val="center"/>
            </w:pPr>
            <w:r>
              <w:rPr>
                <w:rFonts w:ascii="Garamond" w:eastAsia="Garamond" w:hAnsi="Garamond" w:cs="Garamond"/>
                <w:color w:val="000000"/>
              </w:rPr>
              <w:t>U.S. Geological Survey (</w:t>
            </w:r>
            <w:proofErr w:type="spellStart"/>
            <w:r>
              <w:rPr>
                <w:rFonts w:ascii="Garamond" w:eastAsia="Garamond" w:hAnsi="Garamond" w:cs="Garamond"/>
                <w:color w:val="000000"/>
              </w:rPr>
              <w:t>n.d.;b</w:t>
            </w:r>
            <w:proofErr w:type="spellEnd"/>
            <w:r>
              <w:rPr>
                <w:rFonts w:ascii="Garamond" w:eastAsia="Garamond" w:hAnsi="Garamond" w:cs="Garamond"/>
                <w:color w:val="000000"/>
              </w:rPr>
              <w:t>)</w:t>
            </w:r>
          </w:p>
        </w:tc>
      </w:tr>
      <w:tr w:rsidR="0083004B" w14:paraId="2DA32AA4" w14:textId="77777777">
        <w:trPr>
          <w:trHeight w:val="687"/>
        </w:trPr>
        <w:tc>
          <w:tcPr>
            <w:tcW w:w="2155" w:type="dxa"/>
          </w:tcPr>
          <w:p w14:paraId="2DA32A9F" w14:textId="77777777" w:rsidR="0083004B" w:rsidRDefault="00E14A9E">
            <w:pPr>
              <w:jc w:val="center"/>
              <w:rPr>
                <w:rFonts w:ascii="Garamond" w:eastAsia="Garamond" w:hAnsi="Garamond" w:cs="Garamond"/>
                <w:color w:val="000000"/>
              </w:rPr>
            </w:pPr>
            <w:r>
              <w:rPr>
                <w:rFonts w:ascii="Garamond" w:eastAsia="Garamond" w:hAnsi="Garamond" w:cs="Garamond"/>
                <w:color w:val="000000"/>
              </w:rPr>
              <w:t>NDVI</w:t>
            </w:r>
          </w:p>
        </w:tc>
        <w:tc>
          <w:tcPr>
            <w:tcW w:w="5400" w:type="dxa"/>
          </w:tcPr>
          <w:p w14:paraId="2DA32AA0" w14:textId="77777777" w:rsidR="0083004B" w:rsidRDefault="00E14A9E">
            <w:pPr>
              <w:jc w:val="center"/>
              <w:rPr>
                <w:rFonts w:ascii="Garamond" w:eastAsia="Garamond" w:hAnsi="Garamond" w:cs="Garamond"/>
                <w:color w:val="000000"/>
              </w:rPr>
            </w:pPr>
            <w:r>
              <w:rPr>
                <w:rFonts w:ascii="Garamond" w:eastAsia="Garamond" w:hAnsi="Garamond" w:cs="Garamond"/>
                <w:color w:val="000000"/>
              </w:rPr>
              <w:t>Bands: NIR(SR_B5), RED(SR_B4)</w:t>
            </w:r>
          </w:p>
          <w:p w14:paraId="2DA32AA1" w14:textId="77777777" w:rsidR="0083004B" w:rsidRDefault="00E14A9E">
            <w:pPr>
              <w:jc w:val="center"/>
              <w:rPr>
                <w:rFonts w:ascii="Garamond" w:eastAsia="Garamond" w:hAnsi="Garamond" w:cs="Garamond"/>
                <w:color w:val="000000"/>
              </w:rPr>
            </w:pPr>
            <w:r>
              <w:rPr>
                <w:rFonts w:ascii="Garamond" w:eastAsia="Garamond" w:hAnsi="Garamond" w:cs="Garamond"/>
                <w:color w:val="000000"/>
              </w:rPr>
              <w:t xml:space="preserve">Equation: (NIR - RED) / </w:t>
            </w:r>
          </w:p>
          <w:p w14:paraId="2DA32AA2" w14:textId="77777777" w:rsidR="0083004B" w:rsidRDefault="00E14A9E">
            <w:pPr>
              <w:jc w:val="center"/>
              <w:rPr>
                <w:rFonts w:ascii="Garamond" w:eastAsia="Garamond" w:hAnsi="Garamond" w:cs="Garamond"/>
                <w:color w:val="000000"/>
              </w:rPr>
            </w:pPr>
            <w:r>
              <w:rPr>
                <w:rFonts w:ascii="Garamond" w:eastAsia="Garamond" w:hAnsi="Garamond" w:cs="Garamond"/>
                <w:color w:val="000000"/>
              </w:rPr>
              <w:t>(NIR + RED)</w:t>
            </w:r>
          </w:p>
        </w:tc>
        <w:tc>
          <w:tcPr>
            <w:tcW w:w="1795" w:type="dxa"/>
          </w:tcPr>
          <w:p w14:paraId="2DA32AA3" w14:textId="77777777" w:rsidR="0083004B" w:rsidRDefault="00E14A9E">
            <w:pPr>
              <w:jc w:val="center"/>
            </w:pPr>
            <w:r>
              <w:rPr>
                <w:rFonts w:ascii="Garamond" w:eastAsia="Garamond" w:hAnsi="Garamond" w:cs="Garamond"/>
                <w:color w:val="000000"/>
              </w:rPr>
              <w:t>U.S. Geological Survey (</w:t>
            </w:r>
            <w:proofErr w:type="spellStart"/>
            <w:r>
              <w:rPr>
                <w:rFonts w:ascii="Garamond" w:eastAsia="Garamond" w:hAnsi="Garamond" w:cs="Garamond"/>
                <w:color w:val="000000"/>
              </w:rPr>
              <w:t>n.d.;a</w:t>
            </w:r>
            <w:proofErr w:type="spellEnd"/>
            <w:r>
              <w:rPr>
                <w:rFonts w:ascii="Garamond" w:eastAsia="Garamond" w:hAnsi="Garamond" w:cs="Garamond"/>
                <w:color w:val="000000"/>
              </w:rPr>
              <w:t>)</w:t>
            </w:r>
          </w:p>
        </w:tc>
      </w:tr>
      <w:tr w:rsidR="0083004B" w14:paraId="2DA32AA9" w14:textId="77777777">
        <w:trPr>
          <w:trHeight w:val="687"/>
        </w:trPr>
        <w:tc>
          <w:tcPr>
            <w:tcW w:w="2155" w:type="dxa"/>
          </w:tcPr>
          <w:p w14:paraId="2DA32AA5" w14:textId="77777777" w:rsidR="0083004B" w:rsidRDefault="00E14A9E">
            <w:pPr>
              <w:jc w:val="center"/>
              <w:rPr>
                <w:rFonts w:ascii="Garamond" w:eastAsia="Garamond" w:hAnsi="Garamond" w:cs="Garamond"/>
                <w:color w:val="000000"/>
              </w:rPr>
            </w:pPr>
            <w:r>
              <w:rPr>
                <w:rFonts w:ascii="Garamond" w:eastAsia="Garamond" w:hAnsi="Garamond" w:cs="Garamond"/>
                <w:color w:val="000000"/>
              </w:rPr>
              <w:lastRenderedPageBreak/>
              <w:t>NDBI</w:t>
            </w:r>
          </w:p>
        </w:tc>
        <w:tc>
          <w:tcPr>
            <w:tcW w:w="5400" w:type="dxa"/>
          </w:tcPr>
          <w:p w14:paraId="2DA32AA6" w14:textId="77777777" w:rsidR="0083004B" w:rsidRDefault="00E14A9E">
            <w:pPr>
              <w:jc w:val="center"/>
            </w:pPr>
            <w:r>
              <w:rPr>
                <w:rFonts w:ascii="Garamond" w:eastAsia="Garamond" w:hAnsi="Garamond" w:cs="Garamond"/>
                <w:color w:val="000000"/>
              </w:rPr>
              <w:t>Bands: SWIR (SR_B6), NIR(SR_B5)</w:t>
            </w:r>
          </w:p>
          <w:p w14:paraId="2DA32AA7" w14:textId="77777777" w:rsidR="0083004B" w:rsidRDefault="00E14A9E">
            <w:pPr>
              <w:jc w:val="center"/>
              <w:rPr>
                <w:rFonts w:ascii="Garamond" w:eastAsia="Garamond" w:hAnsi="Garamond" w:cs="Garamond"/>
                <w:color w:val="000000"/>
              </w:rPr>
            </w:pPr>
            <w:r>
              <w:rPr>
                <w:rFonts w:ascii="Garamond" w:eastAsia="Garamond" w:hAnsi="Garamond" w:cs="Garamond"/>
                <w:color w:val="000000"/>
              </w:rPr>
              <w:t>Equation: (SWIR - NIR) / (SWIR +NIR)</w:t>
            </w:r>
          </w:p>
        </w:tc>
        <w:tc>
          <w:tcPr>
            <w:tcW w:w="1795" w:type="dxa"/>
          </w:tcPr>
          <w:p w14:paraId="2DA32AA8" w14:textId="77777777" w:rsidR="0083004B" w:rsidRDefault="00E14A9E">
            <w:pPr>
              <w:jc w:val="center"/>
              <w:rPr>
                <w:rFonts w:ascii="Garamond" w:eastAsia="Garamond" w:hAnsi="Garamond" w:cs="Garamond"/>
                <w:color w:val="000000"/>
              </w:rPr>
            </w:pPr>
            <w:proofErr w:type="spellStart"/>
            <w:r>
              <w:rPr>
                <w:rFonts w:ascii="Garamond" w:eastAsia="Garamond" w:hAnsi="Garamond" w:cs="Garamond"/>
                <w:color w:val="000000"/>
              </w:rPr>
              <w:t>Hoshangabad</w:t>
            </w:r>
            <w:proofErr w:type="spellEnd"/>
            <w:r>
              <w:rPr>
                <w:rFonts w:ascii="Garamond" w:eastAsia="Garamond" w:hAnsi="Garamond" w:cs="Garamond"/>
                <w:color w:val="000000"/>
              </w:rPr>
              <w:t xml:space="preserve"> et. al (2018)</w:t>
            </w:r>
          </w:p>
        </w:tc>
      </w:tr>
      <w:tr w:rsidR="0083004B" w14:paraId="2DA32AAF" w14:textId="77777777">
        <w:trPr>
          <w:trHeight w:val="687"/>
        </w:trPr>
        <w:tc>
          <w:tcPr>
            <w:tcW w:w="2155" w:type="dxa"/>
          </w:tcPr>
          <w:p w14:paraId="2DA32AAA" w14:textId="77777777" w:rsidR="0083004B" w:rsidRDefault="00E14A9E">
            <w:pPr>
              <w:jc w:val="center"/>
              <w:rPr>
                <w:rFonts w:ascii="Garamond" w:eastAsia="Garamond" w:hAnsi="Garamond" w:cs="Garamond"/>
                <w:color w:val="000000"/>
              </w:rPr>
            </w:pPr>
            <w:r>
              <w:rPr>
                <w:rFonts w:ascii="Garamond" w:eastAsia="Garamond" w:hAnsi="Garamond" w:cs="Garamond"/>
                <w:color w:val="000000"/>
              </w:rPr>
              <w:t>Albedo</w:t>
            </w:r>
          </w:p>
        </w:tc>
        <w:tc>
          <w:tcPr>
            <w:tcW w:w="5400" w:type="dxa"/>
          </w:tcPr>
          <w:p w14:paraId="2DA32AAB" w14:textId="77777777" w:rsidR="0083004B" w:rsidRDefault="00E14A9E">
            <w:pPr>
              <w:jc w:val="center"/>
              <w:rPr>
                <w:rFonts w:ascii="Garamond" w:eastAsia="Garamond" w:hAnsi="Garamond" w:cs="Garamond"/>
                <w:color w:val="000000"/>
              </w:rPr>
            </w:pPr>
            <w:r>
              <w:rPr>
                <w:rFonts w:ascii="Garamond" w:eastAsia="Garamond" w:hAnsi="Garamond" w:cs="Garamond"/>
                <w:color w:val="000000"/>
              </w:rPr>
              <w:t>Bands: NIR, SWIR 1, SWIR 2, RED, GREEN, BLUE</w:t>
            </w:r>
          </w:p>
          <w:p w14:paraId="2DA32AAC" w14:textId="77777777" w:rsidR="0083004B" w:rsidRDefault="00E14A9E">
            <w:pPr>
              <w:jc w:val="center"/>
              <w:rPr>
                <w:rFonts w:ascii="Garamond" w:eastAsia="Garamond" w:hAnsi="Garamond" w:cs="Garamond"/>
                <w:color w:val="000000"/>
              </w:rPr>
            </w:pPr>
            <w:r>
              <w:rPr>
                <w:rFonts w:ascii="Garamond" w:eastAsia="Garamond" w:hAnsi="Garamond" w:cs="Garamond"/>
                <w:color w:val="000000"/>
              </w:rPr>
              <w:t>Equation:</w:t>
            </w:r>
          </w:p>
          <w:p w14:paraId="2DA32AAD" w14:textId="77777777" w:rsidR="0083004B" w:rsidRDefault="00E14A9E">
            <w:pPr>
              <w:jc w:val="center"/>
              <w:rPr>
                <w:rFonts w:ascii="Garamond" w:eastAsia="Garamond" w:hAnsi="Garamond" w:cs="Garamond"/>
                <w:color w:val="000000"/>
              </w:rPr>
            </w:pPr>
            <w:r>
              <w:rPr>
                <w:rFonts w:ascii="Garamond" w:eastAsia="Garamond" w:hAnsi="Garamond" w:cs="Garamond"/>
                <w:color w:val="000000"/>
              </w:rPr>
              <w:t>(BLUE * 0.246 + GREEN * 0.146 + RED * 0.191 + 0.304 * NIR + 0.105 * SWIR1 + 0.008 * SWIR2) * 0.0001</w:t>
            </w:r>
          </w:p>
        </w:tc>
        <w:tc>
          <w:tcPr>
            <w:tcW w:w="1795" w:type="dxa"/>
          </w:tcPr>
          <w:p w14:paraId="2DA32AAE" w14:textId="77777777" w:rsidR="0083004B" w:rsidRDefault="00E14A9E">
            <w:pPr>
              <w:jc w:val="center"/>
              <w:rPr>
                <w:rFonts w:ascii="Garamond" w:eastAsia="Garamond" w:hAnsi="Garamond" w:cs="Garamond"/>
              </w:rPr>
            </w:pPr>
            <w:r>
              <w:rPr>
                <w:rFonts w:ascii="Garamond" w:eastAsia="Garamond" w:hAnsi="Garamond" w:cs="Garamond"/>
              </w:rPr>
              <w:t xml:space="preserve">Guillermo et. al (2016) </w:t>
            </w:r>
          </w:p>
        </w:tc>
      </w:tr>
      <w:tr w:rsidR="0083004B" w14:paraId="2DA32AB6" w14:textId="77777777">
        <w:trPr>
          <w:trHeight w:val="687"/>
        </w:trPr>
        <w:tc>
          <w:tcPr>
            <w:tcW w:w="2155" w:type="dxa"/>
          </w:tcPr>
          <w:p w14:paraId="2DA32AB0" w14:textId="77777777" w:rsidR="0083004B" w:rsidRDefault="00E14A9E">
            <w:pPr>
              <w:jc w:val="center"/>
              <w:rPr>
                <w:rFonts w:ascii="Garamond" w:eastAsia="Garamond" w:hAnsi="Garamond" w:cs="Garamond"/>
                <w:color w:val="000000"/>
              </w:rPr>
            </w:pPr>
            <w:r>
              <w:rPr>
                <w:rFonts w:ascii="Garamond" w:eastAsia="Garamond" w:hAnsi="Garamond" w:cs="Garamond"/>
                <w:color w:val="000000"/>
              </w:rPr>
              <w:t>Nighttime LST</w:t>
            </w:r>
          </w:p>
        </w:tc>
        <w:tc>
          <w:tcPr>
            <w:tcW w:w="5400" w:type="dxa"/>
          </w:tcPr>
          <w:p w14:paraId="2DA32AB1" w14:textId="77777777" w:rsidR="0083004B" w:rsidRDefault="00E14A9E">
            <w:pPr>
              <w:jc w:val="center"/>
              <w:rPr>
                <w:rFonts w:ascii="Garamond" w:eastAsia="Garamond" w:hAnsi="Garamond" w:cs="Garamond"/>
                <w:color w:val="000000"/>
              </w:rPr>
            </w:pPr>
            <w:r>
              <w:rPr>
                <w:rFonts w:ascii="Garamond" w:eastAsia="Garamond" w:hAnsi="Garamond" w:cs="Garamond"/>
                <w:color w:val="000000"/>
              </w:rPr>
              <w:t>Product: MODIS/Terra Land Surface Temperature/ Emissivity 8-Day L3 Global 1 km SIN Grid</w:t>
            </w:r>
          </w:p>
          <w:p w14:paraId="2DA32AB2" w14:textId="77777777" w:rsidR="0083004B" w:rsidRDefault="00E14A9E">
            <w:pPr>
              <w:jc w:val="center"/>
              <w:rPr>
                <w:rFonts w:ascii="Garamond" w:eastAsia="Garamond" w:hAnsi="Garamond" w:cs="Garamond"/>
              </w:rPr>
            </w:pPr>
            <w:r>
              <w:rPr>
                <w:rFonts w:ascii="Garamond" w:eastAsia="Garamond" w:hAnsi="Garamond" w:cs="Garamond"/>
                <w:color w:val="000000"/>
              </w:rPr>
              <w:t>(M</w:t>
            </w:r>
            <w:r>
              <w:rPr>
                <w:rFonts w:ascii="Garamond" w:eastAsia="Garamond" w:hAnsi="Garamond" w:cs="Garamond"/>
              </w:rPr>
              <w:t>ODIS/061/MOD11A2)</w:t>
            </w:r>
          </w:p>
          <w:p w14:paraId="2DA32AB3" w14:textId="77777777" w:rsidR="0083004B" w:rsidRDefault="00E14A9E">
            <w:pPr>
              <w:jc w:val="center"/>
              <w:rPr>
                <w:rFonts w:ascii="Garamond" w:eastAsia="Garamond" w:hAnsi="Garamond" w:cs="Garamond"/>
              </w:rPr>
            </w:pPr>
            <w:r>
              <w:rPr>
                <w:rFonts w:ascii="Garamond" w:eastAsia="Garamond" w:hAnsi="Garamond" w:cs="Garamond"/>
              </w:rPr>
              <w:t>Band: LST_Night_1km</w:t>
            </w:r>
          </w:p>
          <w:p w14:paraId="2DA32AB4" w14:textId="77777777" w:rsidR="0083004B" w:rsidRDefault="0083004B">
            <w:pPr>
              <w:jc w:val="center"/>
              <w:rPr>
                <w:rFonts w:ascii="Garamond" w:eastAsia="Garamond" w:hAnsi="Garamond" w:cs="Garamond"/>
                <w:color w:val="000000"/>
              </w:rPr>
            </w:pPr>
          </w:p>
        </w:tc>
        <w:tc>
          <w:tcPr>
            <w:tcW w:w="1795" w:type="dxa"/>
          </w:tcPr>
          <w:p w14:paraId="2DA32AB5" w14:textId="77777777" w:rsidR="0083004B" w:rsidRDefault="00E14A9E">
            <w:pPr>
              <w:jc w:val="center"/>
              <w:rPr>
                <w:rFonts w:ascii="Garamond" w:eastAsia="Garamond" w:hAnsi="Garamond" w:cs="Garamond"/>
                <w:color w:val="000000"/>
              </w:rPr>
            </w:pPr>
            <w:r>
              <w:rPr>
                <w:rFonts w:ascii="Garamond" w:eastAsia="Garamond" w:hAnsi="Garamond" w:cs="Garamond"/>
                <w:color w:val="000000"/>
              </w:rPr>
              <w:t>Wan et. al (2021)</w:t>
            </w:r>
          </w:p>
        </w:tc>
      </w:tr>
      <w:tr w:rsidR="0083004B" w14:paraId="2DA32ABF" w14:textId="77777777">
        <w:trPr>
          <w:trHeight w:val="687"/>
        </w:trPr>
        <w:tc>
          <w:tcPr>
            <w:tcW w:w="2155" w:type="dxa"/>
          </w:tcPr>
          <w:p w14:paraId="2DA32AB7" w14:textId="77777777" w:rsidR="0083004B" w:rsidRDefault="00E14A9E">
            <w:pPr>
              <w:jc w:val="center"/>
              <w:rPr>
                <w:rFonts w:ascii="Garamond" w:eastAsia="Garamond" w:hAnsi="Garamond" w:cs="Garamond"/>
                <w:color w:val="000000"/>
              </w:rPr>
            </w:pPr>
            <w:r>
              <w:rPr>
                <w:rFonts w:ascii="Garamond" w:eastAsia="Garamond" w:hAnsi="Garamond" w:cs="Garamond"/>
                <w:color w:val="000000"/>
              </w:rPr>
              <w:t>NDWI</w:t>
            </w:r>
          </w:p>
        </w:tc>
        <w:tc>
          <w:tcPr>
            <w:tcW w:w="5400" w:type="dxa"/>
          </w:tcPr>
          <w:p w14:paraId="2DA32AB8" w14:textId="77777777" w:rsidR="0083004B" w:rsidRDefault="00E14A9E">
            <w:pPr>
              <w:pStyle w:val="Heading1"/>
              <w:spacing w:before="0"/>
              <w:jc w:val="center"/>
              <w:rPr>
                <w:rFonts w:ascii="Garamond" w:eastAsia="Garamond" w:hAnsi="Garamond" w:cs="Garamond"/>
                <w:color w:val="000000"/>
                <w:sz w:val="22"/>
                <w:szCs w:val="22"/>
              </w:rPr>
            </w:pPr>
            <w:r>
              <w:rPr>
                <w:rFonts w:ascii="Garamond" w:eastAsia="Garamond" w:hAnsi="Garamond" w:cs="Garamond"/>
                <w:color w:val="000000"/>
                <w:sz w:val="22"/>
                <w:szCs w:val="22"/>
              </w:rPr>
              <w:t>Product: MODIS/Aqua Surface Reflectance 8-Day L3 Global 500 m SIN Grid</w:t>
            </w:r>
          </w:p>
          <w:p w14:paraId="2DA32AB9" w14:textId="77777777" w:rsidR="0083004B" w:rsidRDefault="00E14A9E">
            <w:pPr>
              <w:pStyle w:val="Heading1"/>
              <w:spacing w:before="0"/>
              <w:jc w:val="center"/>
              <w:rPr>
                <w:rFonts w:ascii="Garamond" w:eastAsia="Garamond" w:hAnsi="Garamond" w:cs="Garamond"/>
                <w:color w:val="000000"/>
                <w:sz w:val="22"/>
                <w:szCs w:val="22"/>
              </w:rPr>
            </w:pPr>
            <w:r>
              <w:rPr>
                <w:rFonts w:ascii="Garamond" w:eastAsia="Garamond" w:hAnsi="Garamond" w:cs="Garamond"/>
                <w:color w:val="000000"/>
                <w:sz w:val="22"/>
                <w:szCs w:val="22"/>
              </w:rPr>
              <w:t>(MYD09A1 v061)</w:t>
            </w:r>
          </w:p>
          <w:p w14:paraId="2DA32ABA" w14:textId="77777777" w:rsidR="0083004B" w:rsidRDefault="00E14A9E">
            <w:pPr>
              <w:jc w:val="center"/>
              <w:rPr>
                <w:rFonts w:ascii="Garamond" w:eastAsia="Garamond" w:hAnsi="Garamond" w:cs="Garamond"/>
              </w:rPr>
            </w:pPr>
            <w:r>
              <w:rPr>
                <w:rFonts w:ascii="Garamond" w:eastAsia="Garamond" w:hAnsi="Garamond" w:cs="Garamond"/>
              </w:rPr>
              <w:t>Equation: Rho857(sur_refl_b02), rho1241(sur_refl_b05)</w:t>
            </w:r>
          </w:p>
          <w:p w14:paraId="2DA32ABB" w14:textId="77777777" w:rsidR="0083004B" w:rsidRDefault="00E14A9E">
            <w:pPr>
              <w:jc w:val="center"/>
              <w:rPr>
                <w:rFonts w:ascii="Garamond" w:eastAsia="Garamond" w:hAnsi="Garamond" w:cs="Garamond"/>
              </w:rPr>
            </w:pPr>
            <w:r>
              <w:rPr>
                <w:rFonts w:ascii="Garamond" w:eastAsia="Garamond" w:hAnsi="Garamond" w:cs="Garamond"/>
              </w:rPr>
              <w:t>(rho857 - rho1241) / (rho857 + rho1241)</w:t>
            </w:r>
          </w:p>
          <w:p w14:paraId="2DA32ABC" w14:textId="77777777" w:rsidR="0083004B" w:rsidRDefault="0083004B"/>
        </w:tc>
        <w:tc>
          <w:tcPr>
            <w:tcW w:w="1795" w:type="dxa"/>
          </w:tcPr>
          <w:p w14:paraId="2DA32ABD" w14:textId="77777777" w:rsidR="0083004B" w:rsidRDefault="00E14A9E">
            <w:pPr>
              <w:jc w:val="center"/>
              <w:rPr>
                <w:rFonts w:ascii="Garamond" w:eastAsia="Garamond" w:hAnsi="Garamond" w:cs="Garamond"/>
              </w:rPr>
            </w:pPr>
            <w:r>
              <w:rPr>
                <w:rFonts w:ascii="Garamond" w:eastAsia="Garamond" w:hAnsi="Garamond" w:cs="Garamond"/>
              </w:rPr>
              <w:t>Bo-</w:t>
            </w:r>
            <w:proofErr w:type="spellStart"/>
            <w:r>
              <w:rPr>
                <w:rFonts w:ascii="Garamond" w:eastAsia="Garamond" w:hAnsi="Garamond" w:cs="Garamond"/>
              </w:rPr>
              <w:t>cai</w:t>
            </w:r>
            <w:proofErr w:type="spellEnd"/>
            <w:r>
              <w:rPr>
                <w:rFonts w:ascii="Garamond" w:eastAsia="Garamond" w:hAnsi="Garamond" w:cs="Garamond"/>
              </w:rPr>
              <w:t xml:space="preserve"> Gao (1996)</w:t>
            </w:r>
          </w:p>
          <w:p w14:paraId="2DA32ABE" w14:textId="77777777" w:rsidR="0083004B" w:rsidRDefault="0083004B">
            <w:pPr>
              <w:jc w:val="center"/>
              <w:rPr>
                <w:rFonts w:ascii="Garamond" w:eastAsia="Garamond" w:hAnsi="Garamond" w:cs="Garamond"/>
                <w:color w:val="000000"/>
              </w:rPr>
            </w:pPr>
          </w:p>
        </w:tc>
      </w:tr>
    </w:tbl>
    <w:p w14:paraId="2DA32AC0" w14:textId="77777777" w:rsidR="0083004B" w:rsidRDefault="0083004B">
      <w:pPr>
        <w:spacing w:after="0" w:line="240" w:lineRule="auto"/>
        <w:rPr>
          <w:rFonts w:ascii="Garamond" w:eastAsia="Garamond" w:hAnsi="Garamond" w:cs="Garamond"/>
          <w:color w:val="000000"/>
        </w:rPr>
      </w:pPr>
    </w:p>
    <w:p w14:paraId="2DA32AC1" w14:textId="77777777" w:rsidR="0083004B" w:rsidRDefault="0083004B">
      <w:pPr>
        <w:spacing w:after="0" w:line="240" w:lineRule="auto"/>
        <w:rPr>
          <w:rFonts w:ascii="Garamond" w:eastAsia="Garamond" w:hAnsi="Garamond" w:cs="Garamond"/>
          <w:color w:val="000000"/>
        </w:rPr>
      </w:pPr>
    </w:p>
    <w:p w14:paraId="2DA32AC2" w14:textId="77777777" w:rsidR="0083004B" w:rsidRDefault="00E14A9E">
      <w:pPr>
        <w:spacing w:after="0" w:line="240" w:lineRule="auto"/>
        <w:rPr>
          <w:rFonts w:ascii="Garamond" w:eastAsia="Garamond" w:hAnsi="Garamond" w:cs="Garamond"/>
          <w:i/>
          <w:color w:val="000000"/>
        </w:rPr>
      </w:pPr>
      <w:r>
        <w:rPr>
          <w:rFonts w:ascii="Garamond" w:eastAsia="Garamond" w:hAnsi="Garamond" w:cs="Garamond"/>
          <w:i/>
          <w:color w:val="000000"/>
        </w:rPr>
        <w:t>3.2.2 Demographic Data</w:t>
      </w:r>
    </w:p>
    <w:p w14:paraId="2DA32AC3"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Using the </w:t>
      </w:r>
      <w:proofErr w:type="spellStart"/>
      <w:r>
        <w:rPr>
          <w:rFonts w:ascii="Garamond" w:eastAsia="Garamond" w:hAnsi="Garamond" w:cs="Garamond"/>
          <w:color w:val="000000"/>
        </w:rPr>
        <w:t>Tidycensus</w:t>
      </w:r>
      <w:proofErr w:type="spellEnd"/>
      <w:r>
        <w:rPr>
          <w:rFonts w:ascii="Garamond" w:eastAsia="Garamond" w:hAnsi="Garamond" w:cs="Garamond"/>
          <w:color w:val="000000"/>
        </w:rPr>
        <w:t xml:space="preserve"> package in R Studio 4.3.3, we obtained socioeconomic demographic data inputs for the Principal Component Analysis (PCA) from the U.S. Census Bureau ACS 2022 five-year estimates. We utilized UHEAT 1.0 code to pull variables for percent below the poverty line, ethnic minority, 65 and older, and percent without a high school diploma (Table 2). These variables were used to assess race, income, age, and education demographics to formulate a basis for calculating social vulnerability and sensitivity.  </w:t>
      </w:r>
    </w:p>
    <w:p w14:paraId="2DA32AC4" w14:textId="77777777" w:rsidR="0083004B" w:rsidRDefault="0083004B">
      <w:pPr>
        <w:spacing w:after="0" w:line="240" w:lineRule="auto"/>
        <w:ind w:right="440"/>
        <w:rPr>
          <w:rFonts w:ascii="Garamond" w:eastAsia="Garamond" w:hAnsi="Garamond" w:cs="Garamond"/>
          <w:color w:val="000000"/>
        </w:rPr>
      </w:pPr>
    </w:p>
    <w:p w14:paraId="2DA32AC5" w14:textId="77777777" w:rsidR="0083004B" w:rsidRDefault="0083004B">
      <w:pPr>
        <w:spacing w:after="0" w:line="240" w:lineRule="auto"/>
        <w:ind w:right="440"/>
        <w:rPr>
          <w:rFonts w:ascii="Garamond" w:eastAsia="Garamond" w:hAnsi="Garamond" w:cs="Garamond"/>
          <w:color w:val="000000"/>
        </w:rPr>
      </w:pPr>
    </w:p>
    <w:p w14:paraId="2DA32AC6"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i/>
          <w:color w:val="000000"/>
        </w:rPr>
        <w:t>3.3 Data Analysis</w:t>
      </w:r>
    </w:p>
    <w:p w14:paraId="2DA32AC7" w14:textId="77777777" w:rsidR="0083004B" w:rsidRDefault="00E14A9E">
      <w:pPr>
        <w:spacing w:after="0" w:line="240" w:lineRule="auto"/>
        <w:rPr>
          <w:rFonts w:ascii="Garamond" w:eastAsia="Garamond" w:hAnsi="Garamond" w:cs="Garamond"/>
          <w:i/>
          <w:color w:val="000000"/>
        </w:rPr>
      </w:pPr>
      <w:r>
        <w:rPr>
          <w:rFonts w:ascii="Garamond" w:eastAsia="Garamond" w:hAnsi="Garamond" w:cs="Garamond"/>
          <w:i/>
          <w:color w:val="000000"/>
        </w:rPr>
        <w:t>3.3.1 Heat Vulnerability Assessment &amp; Index</w:t>
      </w:r>
    </w:p>
    <w:p w14:paraId="2DA32AC8"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It is widely accepted that vulnerability can be quantified by aggregating calculations of sensitivity, exposure, and adaptive capacity (Cheng et al. 2021; </w:t>
      </w:r>
      <w:proofErr w:type="spellStart"/>
      <w:r>
        <w:rPr>
          <w:rFonts w:ascii="Garamond" w:eastAsia="Garamond" w:hAnsi="Garamond" w:cs="Garamond"/>
          <w:color w:val="000000"/>
        </w:rPr>
        <w:t>Szagri</w:t>
      </w:r>
      <w:proofErr w:type="spellEnd"/>
      <w:r>
        <w:rPr>
          <w:rFonts w:ascii="Garamond" w:eastAsia="Garamond" w:hAnsi="Garamond" w:cs="Garamond"/>
          <w:color w:val="000000"/>
        </w:rPr>
        <w:t xml:space="preserve"> et al., 2023). To create a Heat Vulnerability Index Composite Score specific to Baltimore City and County, we identified variables in two categories, sociodemographic properties, and environmental properties (</w:t>
      </w:r>
      <w:proofErr w:type="spellStart"/>
      <w:r>
        <w:rPr>
          <w:rFonts w:ascii="Garamond" w:eastAsia="Garamond" w:hAnsi="Garamond" w:cs="Garamond"/>
          <w:color w:val="000000"/>
        </w:rPr>
        <w:t>Yigitcanar</w:t>
      </w:r>
      <w:proofErr w:type="spellEnd"/>
      <w:r>
        <w:rPr>
          <w:rFonts w:ascii="Garamond" w:eastAsia="Garamond" w:hAnsi="Garamond" w:cs="Garamond"/>
          <w:color w:val="000000"/>
        </w:rPr>
        <w:t xml:space="preserve"> et al., 2022; </w:t>
      </w:r>
      <w:proofErr w:type="spellStart"/>
      <w:r>
        <w:rPr>
          <w:rFonts w:ascii="Garamond" w:eastAsia="Garamond" w:hAnsi="Garamond" w:cs="Garamond"/>
          <w:color w:val="000000"/>
        </w:rPr>
        <w:t>Niu</w:t>
      </w:r>
      <w:proofErr w:type="spellEnd"/>
      <w:r>
        <w:rPr>
          <w:rFonts w:ascii="Garamond" w:eastAsia="Garamond" w:hAnsi="Garamond" w:cs="Garamond"/>
          <w:color w:val="000000"/>
        </w:rPr>
        <w:t xml:space="preserve"> et al., 2021; Tables 2 and 4). Health data was excluded, given the data was inaccessible, and that the PCA does not disaggregate social determinants of health (</w:t>
      </w:r>
      <w:proofErr w:type="spellStart"/>
      <w:r>
        <w:rPr>
          <w:rFonts w:ascii="Garamond" w:eastAsia="Garamond" w:hAnsi="Garamond" w:cs="Garamond"/>
          <w:color w:val="000000"/>
        </w:rPr>
        <w:t>Kauh</w:t>
      </w:r>
      <w:proofErr w:type="spellEnd"/>
      <w:r>
        <w:rPr>
          <w:rFonts w:ascii="Garamond" w:eastAsia="Garamond" w:hAnsi="Garamond" w:cs="Garamond"/>
          <w:color w:val="000000"/>
        </w:rPr>
        <w:t xml:space="preserve"> et al., 2021). The variables in table 2 were chosen based on HVI literature and in consultation with expert opinion and the MTA to both match their existing HVI in their ART program and follow Title VI guidelines for equitably assessing government (Cheng et al., 2021; </w:t>
      </w:r>
      <w:proofErr w:type="spellStart"/>
      <w:r>
        <w:rPr>
          <w:rFonts w:ascii="Garamond" w:eastAsia="Garamond" w:hAnsi="Garamond" w:cs="Garamond"/>
          <w:color w:val="000000"/>
        </w:rPr>
        <w:t>Yigitcanar</w:t>
      </w:r>
      <w:proofErr w:type="spellEnd"/>
      <w:r>
        <w:rPr>
          <w:rFonts w:ascii="Garamond" w:eastAsia="Garamond" w:hAnsi="Garamond" w:cs="Garamond"/>
          <w:color w:val="000000"/>
        </w:rPr>
        <w:t xml:space="preserve"> et al., 2022; Nguyen and </w:t>
      </w:r>
      <w:proofErr w:type="spellStart"/>
      <w:r>
        <w:rPr>
          <w:rFonts w:ascii="Garamond" w:eastAsia="Garamond" w:hAnsi="Garamond" w:cs="Garamond"/>
          <w:color w:val="000000"/>
        </w:rPr>
        <w:t>Liou</w:t>
      </w:r>
      <w:proofErr w:type="spellEnd"/>
      <w:r>
        <w:rPr>
          <w:rFonts w:ascii="Garamond" w:eastAsia="Garamond" w:hAnsi="Garamond" w:cs="Garamond"/>
          <w:color w:val="000000"/>
        </w:rPr>
        <w:t xml:space="preserve">, 2019; ACS/US Census Bureau, 2023; Quinn et al. 2020). We accessed natural and built environment data from Landsat 8 Level 2 and calculated their corresponding indices via GEE (Table 4). Block group level socio-demographic data came from the US Census Bureau ACS five-year estimates (2018-2023), accessed using the </w:t>
      </w:r>
      <w:proofErr w:type="spellStart"/>
      <w:r>
        <w:rPr>
          <w:rFonts w:ascii="Garamond" w:eastAsia="Garamond" w:hAnsi="Garamond" w:cs="Garamond"/>
          <w:color w:val="000000"/>
        </w:rPr>
        <w:t>Tidycensus</w:t>
      </w:r>
      <w:proofErr w:type="spellEnd"/>
      <w:r>
        <w:rPr>
          <w:rFonts w:ascii="Garamond" w:eastAsia="Garamond" w:hAnsi="Garamond" w:cs="Garamond"/>
          <w:color w:val="000000"/>
        </w:rPr>
        <w:t xml:space="preserve"> package in R Studio. Together, these variables were assessed using a PCA, run in R Studio to produce quantitative heat vulnerability indices in section 4.1.2. </w:t>
      </w:r>
    </w:p>
    <w:p w14:paraId="2DA32AC9" w14:textId="77777777" w:rsidR="0083004B" w:rsidRDefault="0083004B">
      <w:pPr>
        <w:spacing w:after="0" w:line="240" w:lineRule="auto"/>
        <w:rPr>
          <w:rFonts w:ascii="Garamond" w:eastAsia="Garamond" w:hAnsi="Garamond" w:cs="Garamond"/>
          <w:color w:val="000000"/>
        </w:rPr>
      </w:pPr>
    </w:p>
    <w:p w14:paraId="2DA32ACA"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The variables pulled from the Census were: percentage below poverty level, ages 65 and over, ethnic minority, and adults without a high school diploma. Two additional variables, percent unemployed and houses built pre-1980, were accessed as well but due to time constraints, had to be left out of the final analysis. Through the utilization of the UHEAT code, census data was pulled and corrected for standard error and coefficient of variation and run through the Principal Component Analysis to identify which variables capture the largest variation in the data. The principal components found to be most impactful were the percent ethnic minority and percent below the poverty level. Created by Charlotte C. Wagner and modified by Blake Steiner, UHEAT first calculates a heat exposure score, based solely on the environmental variables; LST, nighttime LST, albedo, NDVI, NDBI, and NDWI. Next, a heat vulnerability score is calculated solely with sociodemographic variables. Lastly, a heat priority score is produced through the combination of both environmental and sociodemographic factors. All heat scores were spatialized by census block group and later visualized through ArcGIS Pro. </w:t>
      </w:r>
    </w:p>
    <w:p w14:paraId="2DA32ACB" w14:textId="77777777" w:rsidR="0083004B" w:rsidRDefault="0083004B">
      <w:pPr>
        <w:spacing w:after="0" w:line="240" w:lineRule="auto"/>
        <w:rPr>
          <w:rFonts w:ascii="Garamond" w:eastAsia="Garamond" w:hAnsi="Garamond" w:cs="Garamond"/>
          <w:color w:val="000000"/>
        </w:rPr>
      </w:pPr>
    </w:p>
    <w:p w14:paraId="2DA32ACC" w14:textId="77777777" w:rsidR="0083004B" w:rsidRDefault="00E14A9E">
      <w:pPr>
        <w:spacing w:after="0" w:line="240" w:lineRule="auto"/>
        <w:rPr>
          <w:rFonts w:ascii="Garamond" w:eastAsia="Garamond" w:hAnsi="Garamond" w:cs="Garamond"/>
          <w:i/>
          <w:color w:val="000000"/>
          <w:shd w:val="clear" w:color="auto" w:fill="E6E6E6"/>
        </w:rPr>
      </w:pPr>
      <w:r>
        <w:rPr>
          <w:rFonts w:ascii="Garamond" w:eastAsia="Garamond" w:hAnsi="Garamond" w:cs="Garamond"/>
          <w:i/>
          <w:color w:val="000000"/>
        </w:rPr>
        <w:t xml:space="preserve">3.3.2 Outdoor Thermal Comfort Model – SOLWEIG </w:t>
      </w:r>
    </w:p>
    <w:p w14:paraId="2DA32ACD"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LST is helpful in heat analysis for multiple reasons, primarily because LST is a direct measure of the Earth’s surface and can thus be useful in approximating heat. However, there is a considerable discrepancy between the temperature of the Earth’s surface, and the body’s experience of heat. Therefore, we ran a thermal comfort model to visualize meal radiant temperature </w:t>
      </w:r>
      <w:r>
        <w:rPr>
          <w:rFonts w:ascii="Garamond" w:eastAsia="Garamond" w:hAnsi="Garamond" w:cs="Garamond"/>
        </w:rPr>
        <w:t>(T</w:t>
      </w:r>
      <w:r>
        <w:rPr>
          <w:rFonts w:ascii="Garamond" w:eastAsia="Garamond" w:hAnsi="Garamond" w:cs="Garamond"/>
          <w:vertAlign w:val="subscript"/>
        </w:rPr>
        <w:t>MRT</w:t>
      </w:r>
      <w:r>
        <w:rPr>
          <w:rFonts w:ascii="Garamond" w:eastAsia="Garamond" w:hAnsi="Garamond" w:cs="Garamond"/>
        </w:rPr>
        <w:t>), a measure in thermal comfort analysis that represents the average ambient temperature as perceived by the individual. T</w:t>
      </w:r>
      <w:r>
        <w:rPr>
          <w:rFonts w:ascii="Garamond" w:eastAsia="Garamond" w:hAnsi="Garamond" w:cs="Garamond"/>
          <w:vertAlign w:val="subscript"/>
        </w:rPr>
        <w:t>MRT</w:t>
      </w:r>
      <w:r>
        <w:rPr>
          <w:rFonts w:ascii="Garamond" w:eastAsia="Garamond" w:hAnsi="Garamond" w:cs="Garamond"/>
        </w:rPr>
        <w:t xml:space="preserve"> calculates the temperature of surrounding surfaces, considering whether these surrounding objects amplify or reduce heat </w:t>
      </w:r>
      <w:r>
        <w:rPr>
          <w:rFonts w:ascii="Garamond" w:eastAsia="Garamond" w:hAnsi="Garamond" w:cs="Garamond"/>
          <w:color w:val="000000"/>
        </w:rPr>
        <w:t xml:space="preserve">(Kim et al., 2023). </w:t>
      </w:r>
    </w:p>
    <w:p w14:paraId="2DA32ACE" w14:textId="77777777" w:rsidR="0083004B" w:rsidRDefault="0083004B">
      <w:pPr>
        <w:spacing w:after="0" w:line="240" w:lineRule="auto"/>
        <w:rPr>
          <w:rFonts w:ascii="Garamond" w:eastAsia="Garamond" w:hAnsi="Garamond" w:cs="Garamond"/>
          <w:color w:val="000000"/>
        </w:rPr>
      </w:pPr>
    </w:p>
    <w:p w14:paraId="2DA32ACF" w14:textId="77777777" w:rsidR="0083004B" w:rsidRDefault="00E14A9E">
      <w:pPr>
        <w:spacing w:after="0" w:line="240" w:lineRule="auto"/>
        <w:rPr>
          <w:rFonts w:ascii="Garamond" w:eastAsia="Garamond" w:hAnsi="Garamond" w:cs="Garamond"/>
          <w:color w:val="404040"/>
          <w:shd w:val="clear" w:color="auto" w:fill="FCFCFC"/>
        </w:rPr>
      </w:pPr>
      <w:r>
        <w:rPr>
          <w:rFonts w:ascii="Garamond" w:eastAsia="Garamond" w:hAnsi="Garamond" w:cs="Garamond"/>
        </w:rPr>
        <w:t>To manipulate the LiDAR data in the raster inputs needed for SOLWEIG, we processed the .</w:t>
      </w:r>
      <w:proofErr w:type="spellStart"/>
      <w:r>
        <w:rPr>
          <w:rFonts w:ascii="Garamond" w:eastAsia="Garamond" w:hAnsi="Garamond" w:cs="Garamond"/>
        </w:rPr>
        <w:t>laz</w:t>
      </w:r>
      <w:proofErr w:type="spellEnd"/>
      <w:r>
        <w:rPr>
          <w:rFonts w:ascii="Garamond" w:eastAsia="Garamond" w:hAnsi="Garamond" w:cs="Garamond"/>
        </w:rPr>
        <w:t xml:space="preserve"> files using RStudio in consultation with online resources and our GSFC Lead to rasterize a Digital Elevation Model (DEM) and Digital Surface Model (DSM). </w:t>
      </w:r>
    </w:p>
    <w:p w14:paraId="2DA32AD0" w14:textId="77777777" w:rsidR="0083004B" w:rsidRDefault="0083004B">
      <w:pPr>
        <w:spacing w:after="0" w:line="240" w:lineRule="auto"/>
        <w:rPr>
          <w:rFonts w:ascii="Garamond" w:eastAsia="Garamond" w:hAnsi="Garamond" w:cs="Garamond"/>
          <w:color w:val="404040"/>
          <w:shd w:val="clear" w:color="auto" w:fill="FCFCFC"/>
        </w:rPr>
      </w:pPr>
    </w:p>
    <w:p w14:paraId="2DA32AD1"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SOLWEIG was accessed as the Urban Multiscale Environmental Predictor (UMEP) 4.0.4 plug-in through QGIS 3.34.3 </w:t>
      </w:r>
      <w:proofErr w:type="spellStart"/>
      <w:r>
        <w:rPr>
          <w:rFonts w:ascii="Garamond" w:eastAsia="Garamond" w:hAnsi="Garamond" w:cs="Garamond"/>
          <w:color w:val="000000"/>
        </w:rPr>
        <w:t>Prizren</w:t>
      </w:r>
      <w:proofErr w:type="spellEnd"/>
      <w:r>
        <w:rPr>
          <w:rFonts w:ascii="Garamond" w:eastAsia="Garamond" w:hAnsi="Garamond" w:cs="Garamond"/>
          <w:color w:val="000000"/>
        </w:rPr>
        <w:t>. In QGIS, we created a Normalized Digital Surface Model (</w:t>
      </w:r>
      <w:proofErr w:type="spellStart"/>
      <w:r>
        <w:rPr>
          <w:rFonts w:ascii="Garamond" w:eastAsia="Garamond" w:hAnsi="Garamond" w:cs="Garamond"/>
          <w:color w:val="000000"/>
        </w:rPr>
        <w:t>nDSM</w:t>
      </w:r>
      <w:proofErr w:type="spellEnd"/>
      <w:r>
        <w:rPr>
          <w:rFonts w:ascii="Garamond" w:eastAsia="Garamond" w:hAnsi="Garamond" w:cs="Garamond"/>
          <w:color w:val="000000"/>
        </w:rPr>
        <w:t xml:space="preserve">) and Canopy Digital Surface Model (CDSM) of the same spatial resolution and extent. </w:t>
      </w:r>
    </w:p>
    <w:p w14:paraId="2DA32AD2" w14:textId="77777777" w:rsidR="0083004B" w:rsidRDefault="0083004B">
      <w:pPr>
        <w:spacing w:after="0" w:line="240" w:lineRule="auto"/>
        <w:rPr>
          <w:rFonts w:ascii="Garamond" w:eastAsia="Garamond" w:hAnsi="Garamond" w:cs="Garamond"/>
          <w:color w:val="404040"/>
          <w:shd w:val="clear" w:color="auto" w:fill="FCFCFC"/>
        </w:rPr>
      </w:pPr>
    </w:p>
    <w:p w14:paraId="2DA32AD3"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shd w:val="clear" w:color="auto" w:fill="FCFCFC"/>
        </w:rPr>
        <w:t xml:space="preserve">To produce a land cover raster, we used NAIP Imagery via GEE to create a supervised classification using the UMEP land cover classes in the UMEP manual chapter three section 18 (Lindberg et al., 2019). We then exported the land cover raster into QGIS from GEE. </w:t>
      </w:r>
      <w:r>
        <w:rPr>
          <w:rFonts w:ascii="Garamond" w:eastAsia="Garamond" w:hAnsi="Garamond" w:cs="Garamond"/>
          <w:color w:val="000000"/>
        </w:rPr>
        <w:t xml:space="preserve">We utilized LiDAR-derived products (DEM, </w:t>
      </w:r>
      <w:proofErr w:type="spellStart"/>
      <w:r>
        <w:rPr>
          <w:rFonts w:ascii="Garamond" w:eastAsia="Garamond" w:hAnsi="Garamond" w:cs="Garamond"/>
          <w:color w:val="000000"/>
        </w:rPr>
        <w:t>nDSM</w:t>
      </w:r>
      <w:proofErr w:type="spellEnd"/>
      <w:r>
        <w:rPr>
          <w:rFonts w:ascii="Garamond" w:eastAsia="Garamond" w:hAnsi="Garamond" w:cs="Garamond"/>
          <w:color w:val="000000"/>
        </w:rPr>
        <w:t xml:space="preserve">, CDSM) and the land cover raster in conjunction with local meteorological data to produce an outdoor thermal comfort (OTC) model for an area of interest. In addition, it should be noted that users create a Sky View Factor (SVF) and wall aspect and height outputs that are needed to run SOLWEIG. </w:t>
      </w:r>
    </w:p>
    <w:p w14:paraId="2DA32AD4"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We struggled to choose an area of interest as we did not get heat vulnerability results until later in the term, therefore we chose the neighborhood of McElderry Park because of its reputation of being a marginalized community that suffers some of the most extreme heat in Baltimore and is serviced by MTAs </w:t>
      </w:r>
      <w:proofErr w:type="spellStart"/>
      <w:r>
        <w:rPr>
          <w:rFonts w:ascii="Garamond" w:eastAsia="Garamond" w:hAnsi="Garamond" w:cs="Garamond"/>
          <w:color w:val="000000"/>
        </w:rPr>
        <w:t>Locallink</w:t>
      </w:r>
      <w:proofErr w:type="spellEnd"/>
      <w:r>
        <w:rPr>
          <w:rFonts w:ascii="Garamond" w:eastAsia="Garamond" w:hAnsi="Garamond" w:cs="Garamond"/>
          <w:color w:val="000000"/>
        </w:rPr>
        <w:t xml:space="preserve"> lines 21 and 56 and sits along the Citylink Blue and Orange lines. </w:t>
      </w:r>
    </w:p>
    <w:p w14:paraId="2DA32AD5" w14:textId="77777777" w:rsidR="0083004B" w:rsidRDefault="0083004B">
      <w:pPr>
        <w:spacing w:after="0" w:line="240" w:lineRule="auto"/>
        <w:rPr>
          <w:rFonts w:ascii="Garamond" w:eastAsia="Garamond" w:hAnsi="Garamond" w:cs="Garamond"/>
          <w:color w:val="000000"/>
        </w:rPr>
      </w:pPr>
    </w:p>
    <w:p w14:paraId="2DA32AD6" w14:textId="77777777" w:rsidR="0083004B" w:rsidRDefault="00E14A9E">
      <w:pPr>
        <w:pStyle w:val="Heading1"/>
        <w:spacing w:before="0" w:line="240" w:lineRule="auto"/>
        <w:rPr>
          <w:rFonts w:ascii="Garamond" w:eastAsia="Garamond" w:hAnsi="Garamond" w:cs="Garamond"/>
          <w:b/>
          <w:color w:val="365F91"/>
          <w:sz w:val="28"/>
          <w:szCs w:val="28"/>
        </w:rPr>
      </w:pPr>
      <w:r>
        <w:rPr>
          <w:rFonts w:ascii="Garamond" w:eastAsia="Garamond" w:hAnsi="Garamond" w:cs="Garamond"/>
          <w:b/>
          <w:color w:val="365F91"/>
          <w:sz w:val="28"/>
          <w:szCs w:val="28"/>
        </w:rPr>
        <w:t>4. Results &amp; Discussion</w:t>
      </w:r>
    </w:p>
    <w:p w14:paraId="2DA32AD7" w14:textId="77777777" w:rsidR="0083004B" w:rsidRDefault="00E14A9E">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 xml:space="preserve">4.1.1 UHI Assessment </w:t>
      </w:r>
    </w:p>
    <w:p w14:paraId="2DA32AD8" w14:textId="77777777" w:rsidR="0083004B" w:rsidRDefault="00E14A9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The average maximum daytime LST values across the entire study area ranged from 86°F to 150°F (Figure 2a). Meanwhile, mean maximum daytime LST values for Baltimore City and County combined ranged from 73°F to 132°F (Figure 2b). Notably, Baltimore City exhibited higher temperatures compared to the surrounding County, experiencing both higher average temperatures and more intense maximum temperatures. On average, temperatures in the city were 20°F to 30°F higher (Figure 2b). It is important to note that the spatial distribution of heat in both the city and county was not uniform. The hottest </w:t>
      </w:r>
      <w:r>
        <w:rPr>
          <w:rFonts w:ascii="Garamond" w:eastAsia="Garamond" w:hAnsi="Garamond" w:cs="Garamond"/>
          <w:color w:val="000000"/>
        </w:rPr>
        <w:lastRenderedPageBreak/>
        <w:t xml:space="preserve">neighborhoods, as indicated by mean maximum LST, were predominantly located in central and east-central Baltimore.  </w:t>
      </w:r>
    </w:p>
    <w:p w14:paraId="2DA32AD9" w14:textId="3467B87F" w:rsidR="0083004B" w:rsidRDefault="00C07156">
      <w:pPr>
        <w:pBdr>
          <w:top w:val="nil"/>
          <w:left w:val="nil"/>
          <w:bottom w:val="nil"/>
          <w:right w:val="nil"/>
          <w:between w:val="nil"/>
        </w:pBdr>
        <w:spacing w:after="0" w:line="240" w:lineRule="auto"/>
        <w:rPr>
          <w:color w:val="000000"/>
        </w:rPr>
      </w:pPr>
      <w:sdt>
        <w:sdtPr>
          <w:tag w:val="goog_rdk_4"/>
          <w:id w:val="-805228156"/>
        </w:sdtPr>
        <w:sdtEndPr/>
        <w:sdtContent/>
      </w:sdt>
      <w:sdt>
        <w:sdtPr>
          <w:tag w:val="goog_rdk_5"/>
          <w:id w:val="-355423313"/>
        </w:sdtPr>
        <w:sdtEndPr/>
        <w:sdtContent/>
      </w:sdt>
    </w:p>
    <w:p w14:paraId="43677AC8" w14:textId="111C38A2" w:rsidR="005E3870" w:rsidRDefault="005E3870">
      <w:pPr>
        <w:pBdr>
          <w:top w:val="nil"/>
          <w:left w:val="nil"/>
          <w:bottom w:val="nil"/>
          <w:right w:val="nil"/>
          <w:between w:val="nil"/>
        </w:pBdr>
        <w:spacing w:after="0" w:line="240" w:lineRule="auto"/>
        <w:jc w:val="center"/>
        <w:rPr>
          <w:rFonts w:ascii="Garamond" w:eastAsia="Garamond" w:hAnsi="Garamond" w:cs="Garamond"/>
          <w:i/>
          <w:color w:val="000000"/>
        </w:rPr>
      </w:pPr>
      <w:r w:rsidRPr="005E3870">
        <w:rPr>
          <w:rFonts w:ascii="Garamond" w:eastAsia="Garamond" w:hAnsi="Garamond" w:cs="Garamond"/>
          <w:i/>
          <w:noProof/>
          <w:color w:val="000000"/>
        </w:rPr>
        <w:drawing>
          <wp:inline distT="0" distB="0" distL="0" distR="0" wp14:anchorId="02B56058" wp14:editId="033DBA02">
            <wp:extent cx="5397777" cy="40261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7777" cy="4026107"/>
                    </a:xfrm>
                    <a:prstGeom prst="rect">
                      <a:avLst/>
                    </a:prstGeom>
                  </pic:spPr>
                </pic:pic>
              </a:graphicData>
            </a:graphic>
          </wp:inline>
        </w:drawing>
      </w:r>
    </w:p>
    <w:p w14:paraId="2DA32ADA" w14:textId="6491AB5A" w:rsidR="0083004B" w:rsidRDefault="00E14A9E">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i/>
          <w:color w:val="000000"/>
        </w:rPr>
        <w:t>Figure 2a.</w:t>
      </w:r>
      <w:r>
        <w:rPr>
          <w:rFonts w:ascii="Garamond" w:eastAsia="Garamond" w:hAnsi="Garamond" w:cs="Garamond"/>
          <w:color w:val="000000"/>
        </w:rPr>
        <w:t xml:space="preserve"> Maximum Daytime LST for Baltimore City and County between June and September of 2013 to 2023. </w:t>
      </w:r>
      <w:r>
        <w:rPr>
          <w:rFonts w:ascii="Garamond" w:eastAsia="Garamond" w:hAnsi="Garamond" w:cs="Garamond"/>
          <w:i/>
          <w:color w:val="000000"/>
        </w:rPr>
        <w:t>Figure 2b</w:t>
      </w:r>
      <w:r>
        <w:rPr>
          <w:rFonts w:ascii="Garamond" w:eastAsia="Garamond" w:hAnsi="Garamond" w:cs="Garamond"/>
          <w:b/>
          <w:color w:val="000000"/>
        </w:rPr>
        <w:t>.</w:t>
      </w:r>
      <w:r>
        <w:rPr>
          <w:rFonts w:ascii="Garamond" w:eastAsia="Garamond" w:hAnsi="Garamond" w:cs="Garamond"/>
          <w:color w:val="000000"/>
        </w:rPr>
        <w:t xml:space="preserve"> Mean Daytime LST for Baltimore City and County between June and September of 2013 to 2023.</w:t>
      </w:r>
    </w:p>
    <w:p w14:paraId="2DA32ADB"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highlight w:val="yellow"/>
        </w:rPr>
      </w:pPr>
    </w:p>
    <w:p w14:paraId="2DA32ADC" w14:textId="77777777" w:rsidR="0083004B" w:rsidRDefault="00E14A9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A discernable pattern of heat clustering is observed in the city center and along roadways and major transit corridors, with water bodies excluded from the visualizations. The visual contrast in heat distribution between Baltimore City and its surroundings is striking. Specifically, the upper quartile of Baltimore County does not bear the same heat load as Baltimore City. With higher LST values, surfaces in Baltimore City retain larger quantities of heat. The areas registering the highest LST tend to be highly impervious, densely built-up, and often with low albedo. Consequently, they possess a greater capacity for heat absorption, leading to prolonged heat retention. Further, the concrete canopy of buildings and the built canyons impede the dispersion and dissipation of heat. It is important to note that while LST correlates somewhat with perceived heat, it does not accurately reflect the ambient air temperature experienced by people. </w:t>
      </w:r>
    </w:p>
    <w:p w14:paraId="2DA32ADD"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ADE" w14:textId="77777777" w:rsidR="0083004B" w:rsidRDefault="00E14A9E">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4.1.2 Principal Component Analysis and Heat Vulnerability Distribution</w:t>
      </w:r>
    </w:p>
    <w:p w14:paraId="2DA32ADF" w14:textId="77777777" w:rsidR="0083004B" w:rsidRDefault="00E14A9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Our investigation revealed a concentration of extreme heat within Baltimore City. Due to the limitation of performing a PCA on multiple geographic regions simultaneously, our focus was exclusively on Baltimore City for this analysis. We conducted the PCA using four sociodemographic variables: (1) percent poverty, (2) percent ethnic minority, (3) percent over 65, and (4) percent no high school diploma in conjunction with natural and built environment indices (Table 4). The PCA produced three indices: (1) Heat Vulnerability Index Composite Score (HVI), (2) Heat Exposure Score (HES), and (3) Heat Priority Score (HPS). HVI assessed aggregated social vulnerability, while HES aggregated the natural and built environmental variables. The HPS aggregated social, natural, and built environmental variables to produce a composite human </w:t>
      </w:r>
      <w:r>
        <w:rPr>
          <w:rFonts w:ascii="Garamond" w:eastAsia="Garamond" w:hAnsi="Garamond" w:cs="Garamond"/>
          <w:color w:val="000000"/>
        </w:rPr>
        <w:lastRenderedPageBreak/>
        <w:t xml:space="preserve">vulnerability score (Figure 3). Our analysis revealed that communities exhibiting high social vulnerability and high exposure, as indicated by HVI and HES respectively, also demonstrated elevated HPS. These communities, characterized by high sensitivity and high exposure, face increased challenges in adapting to heat stress. This finding aligns with our earlier observations (Section 4.1.1.) that heat-affected communities not only lack vegetative buffers, but also experience compounded social vulnerability, thereby exacerbating their ability to cope with heat. </w:t>
      </w:r>
    </w:p>
    <w:p w14:paraId="2DA32AE0"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AE1" w14:textId="77777777" w:rsidR="0083004B" w:rsidRDefault="00E14A9E">
      <w:pPr>
        <w:pBdr>
          <w:top w:val="nil"/>
          <w:left w:val="nil"/>
          <w:bottom w:val="nil"/>
          <w:right w:val="nil"/>
          <w:between w:val="nil"/>
        </w:pBdr>
        <w:spacing w:after="0" w:line="240" w:lineRule="auto"/>
        <w:jc w:val="center"/>
        <w:rPr>
          <w:rFonts w:ascii="Garamond" w:eastAsia="Garamond" w:hAnsi="Garamond" w:cs="Garamond"/>
          <w:color w:val="000000"/>
          <w:highlight w:val="yellow"/>
        </w:rPr>
      </w:pPr>
      <w:r>
        <w:rPr>
          <w:noProof/>
          <w:color w:val="000000"/>
        </w:rPr>
        <w:drawing>
          <wp:inline distT="0" distB="0" distL="0" distR="0" wp14:anchorId="2DA32BD6" wp14:editId="2DA32BD7">
            <wp:extent cx="2482056" cy="2524125"/>
            <wp:effectExtent l="0" t="0" r="0" b="0"/>
            <wp:docPr id="1934500998" name="Picture 193450099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482056" cy="2524125"/>
                    </a:xfrm>
                    <a:prstGeom prst="rect">
                      <a:avLst/>
                    </a:prstGeom>
                    <a:ln/>
                  </pic:spPr>
                </pic:pic>
              </a:graphicData>
            </a:graphic>
          </wp:inline>
        </w:drawing>
      </w:r>
    </w:p>
    <w:p w14:paraId="2DA32AE2"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highlight w:val="yellow"/>
        </w:rPr>
      </w:pPr>
    </w:p>
    <w:p w14:paraId="2DA32AE3" w14:textId="77777777" w:rsidR="0083004B" w:rsidRDefault="00E14A9E">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i/>
          <w:color w:val="000000"/>
        </w:rPr>
        <w:t>Figure 3.</w:t>
      </w:r>
      <w:r>
        <w:rPr>
          <w:rFonts w:ascii="Garamond" w:eastAsia="Garamond" w:hAnsi="Garamond" w:cs="Garamond"/>
          <w:color w:val="000000"/>
        </w:rPr>
        <w:t xml:space="preserve"> Heat Priority Scores of Baltimore City Block Groups between July to October of 2013 to 2023. </w:t>
      </w:r>
    </w:p>
    <w:p w14:paraId="2DA32AE4"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AE5" w14:textId="77777777" w:rsidR="0083004B" w:rsidRDefault="00E14A9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The analysis revealed that 32 percent of city census-blocks were classified as high or very priority according to the HPS, indicating elevated levels of both social vulnerability and heat exposure. This grouping of high HPS census-blocks, spreading from east to west across central Baltimore, underscores the concentrated vulnerability within these areas, necessitating targeted intervention. Notably, this region coincides with a significant portion of MTA serviced bus routes and experiences heavy traffic flow from both MTA users and single-passenger vehicles. These communities face heightened vulnerability to heat stress due to a lack of vegetative cover, financial resources, and inadequate infrastructure for adaptation. </w:t>
      </w:r>
    </w:p>
    <w:p w14:paraId="2DA32AE6"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AE7" w14:textId="77777777" w:rsidR="0083004B" w:rsidRDefault="00E14A9E">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i/>
          <w:color w:val="000000"/>
        </w:rPr>
        <w:t>4.1.4. Identifying and Visualizing Vulnerable Bus Corridors</w:t>
      </w:r>
      <w:r>
        <w:rPr>
          <w:rFonts w:ascii="Garamond" w:eastAsia="Garamond" w:hAnsi="Garamond" w:cs="Garamond"/>
          <w:b/>
          <w:color w:val="000000"/>
        </w:rPr>
        <w:t xml:space="preserve"> </w:t>
      </w:r>
    </w:p>
    <w:p w14:paraId="2DA32AE8" w14:textId="77777777" w:rsidR="0083004B" w:rsidRDefault="00E14A9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Our analysis of MTA bus user data revealed that the North Penn Metro Station is the most heavily trafficked area in terms of bus usage. Serving as a vital transit hub connecting core services to the Baltimore Metro </w:t>
      </w:r>
      <w:proofErr w:type="spellStart"/>
      <w:r>
        <w:rPr>
          <w:rFonts w:ascii="Garamond" w:eastAsia="Garamond" w:hAnsi="Garamond" w:cs="Garamond"/>
          <w:color w:val="000000"/>
        </w:rPr>
        <w:t>Subwaylink</w:t>
      </w:r>
      <w:proofErr w:type="spellEnd"/>
      <w:r>
        <w:rPr>
          <w:rFonts w:ascii="Garamond" w:eastAsia="Garamond" w:hAnsi="Garamond" w:cs="Garamond"/>
          <w:color w:val="000000"/>
        </w:rPr>
        <w:t>, this transit corridor emerges as a high-priority asset with significant impact on users. Furthermore, our examination indicated that the Metro Station is situated adjacent to an area classified as high to very high priority based on the HPS (Figure 4). This underscores the importance of considering heat vulnerability alongside transit usage when assessing the significance of transportation infrastructure.</w:t>
      </w:r>
    </w:p>
    <w:p w14:paraId="2DA32AE9"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AEA" w14:textId="77777777" w:rsidR="0083004B" w:rsidRDefault="00E14A9E">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noProof/>
          <w:color w:val="000000"/>
        </w:rPr>
        <w:lastRenderedPageBreak/>
        <w:drawing>
          <wp:inline distT="0" distB="0" distL="0" distR="0" wp14:anchorId="2DA32BD8" wp14:editId="2DA32BD9">
            <wp:extent cx="2618461" cy="3705125"/>
            <wp:effectExtent l="0" t="0" r="0" b="0"/>
            <wp:docPr id="1934500997" name="Picture 1934500997" descr="A map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of a city&#10;&#10;Description automatically generated"/>
                    <pic:cNvPicPr preferRelativeResize="0"/>
                  </pic:nvPicPr>
                  <pic:blipFill>
                    <a:blip r:embed="rId12"/>
                    <a:srcRect/>
                    <a:stretch>
                      <a:fillRect/>
                    </a:stretch>
                  </pic:blipFill>
                  <pic:spPr>
                    <a:xfrm>
                      <a:off x="0" y="0"/>
                      <a:ext cx="2618461" cy="3705125"/>
                    </a:xfrm>
                    <a:prstGeom prst="rect">
                      <a:avLst/>
                    </a:prstGeom>
                    <a:ln/>
                  </pic:spPr>
                </pic:pic>
              </a:graphicData>
            </a:graphic>
          </wp:inline>
        </w:drawing>
      </w:r>
    </w:p>
    <w:p w14:paraId="2DA32AEB"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AEC" w14:textId="77777777" w:rsidR="0083004B" w:rsidRDefault="00E14A9E">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i/>
          <w:color w:val="000000"/>
        </w:rPr>
        <w:t>Figure 4.</w:t>
      </w:r>
      <w:r>
        <w:rPr>
          <w:rFonts w:ascii="Garamond" w:eastAsia="Garamond" w:hAnsi="Garamond" w:cs="Garamond"/>
          <w:color w:val="000000"/>
        </w:rPr>
        <w:t xml:space="preserve"> Metro Ridership in Relation to Heat Priority Score; Zoom in to North Penn Metro Station</w:t>
      </w:r>
    </w:p>
    <w:p w14:paraId="2DA32AED"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AEE"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AEF" w14:textId="77777777" w:rsidR="0083004B" w:rsidRDefault="00E14A9E">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 xml:space="preserve">4.1.5 Modeling High Vulnerability Bus Corridors </w:t>
      </w:r>
    </w:p>
    <w:p w14:paraId="2DA32AF0" w14:textId="77777777" w:rsidR="0083004B" w:rsidRDefault="00E14A9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We attempted to map thermal comfort in Baltimore by pinpointing areas of interest derived from our heat vulnerability findings. Among these areas, we identified the McElderry Park neighborhood situated along a major transit corridor in Southeast Baltimore. This choice was informed by its high heat priority score, spatial data availability, and moderate to high ridership rates according to MTA data. Notably, MTA </w:t>
      </w:r>
      <w:proofErr w:type="spellStart"/>
      <w:r>
        <w:rPr>
          <w:rFonts w:ascii="Garamond" w:eastAsia="Garamond" w:hAnsi="Garamond" w:cs="Garamond"/>
          <w:color w:val="000000"/>
        </w:rPr>
        <w:t>Locallink</w:t>
      </w:r>
      <w:proofErr w:type="spellEnd"/>
      <w:r>
        <w:rPr>
          <w:rFonts w:ascii="Garamond" w:eastAsia="Garamond" w:hAnsi="Garamond" w:cs="Garamond"/>
          <w:color w:val="000000"/>
        </w:rPr>
        <w:t xml:space="preserve"> routes 21 and 56 pass through and around the neighborhood. The resulting visualization and </w:t>
      </w:r>
      <w:proofErr w:type="spellStart"/>
      <w:r>
        <w:rPr>
          <w:rFonts w:ascii="Garamond" w:eastAsia="Garamond" w:hAnsi="Garamond" w:cs="Garamond"/>
          <w:color w:val="000000"/>
        </w:rPr>
        <w:t>T</w:t>
      </w:r>
      <w:r>
        <w:rPr>
          <w:rFonts w:ascii="Garamond" w:eastAsia="Garamond" w:hAnsi="Garamond" w:cs="Garamond"/>
          <w:color w:val="000000"/>
          <w:vertAlign w:val="subscript"/>
        </w:rPr>
        <w:t>mrt</w:t>
      </w:r>
      <w:proofErr w:type="spellEnd"/>
      <w:r>
        <w:rPr>
          <w:rFonts w:ascii="Garamond" w:eastAsia="Garamond" w:hAnsi="Garamond" w:cs="Garamond"/>
          <w:color w:val="000000"/>
        </w:rPr>
        <w:t xml:space="preserve"> values revealed significant heat accumulation in the neighborhood, particularly at ground level, where bus infrastructure and users are exposed. These findings corroborate the heat priority score calculated via the PCA. It is important to note that the </w:t>
      </w:r>
      <w:proofErr w:type="spellStart"/>
      <w:r>
        <w:rPr>
          <w:rFonts w:ascii="Garamond" w:eastAsia="Garamond" w:hAnsi="Garamond" w:cs="Garamond"/>
          <w:color w:val="000000"/>
        </w:rPr>
        <w:t>T</w:t>
      </w:r>
      <w:r>
        <w:rPr>
          <w:rFonts w:ascii="Garamond" w:eastAsia="Garamond" w:hAnsi="Garamond" w:cs="Garamond"/>
          <w:color w:val="000000"/>
          <w:vertAlign w:val="subscript"/>
        </w:rPr>
        <w:t>mrt</w:t>
      </w:r>
      <w:proofErr w:type="spellEnd"/>
      <w:r>
        <w:rPr>
          <w:rFonts w:ascii="Garamond" w:eastAsia="Garamond" w:hAnsi="Garamond" w:cs="Garamond"/>
          <w:color w:val="000000"/>
          <w:vertAlign w:val="subscript"/>
        </w:rPr>
        <w:t xml:space="preserve"> </w:t>
      </w:r>
      <w:r>
        <w:rPr>
          <w:rFonts w:ascii="Garamond" w:eastAsia="Garamond" w:hAnsi="Garamond" w:cs="Garamond"/>
          <w:color w:val="000000"/>
        </w:rPr>
        <w:t xml:space="preserve">values are averaged over a 24-hour period and may not fully capture heat distribution during peak afternoon hours. Nevertheless, the data indicate sustained heat throughout the day. The left side of the visualization (Figure 4) exhibits a higher prevalence of cooler ‘pockets’ of land. This area of the neighborhood boasts more canopy cover and higher albedo due to roofing materials, both of which quantitatively reduce </w:t>
      </w:r>
      <w:proofErr w:type="spellStart"/>
      <w:r>
        <w:rPr>
          <w:rFonts w:ascii="Garamond" w:eastAsia="Garamond" w:hAnsi="Garamond" w:cs="Garamond"/>
          <w:color w:val="000000"/>
        </w:rPr>
        <w:t>T</w:t>
      </w:r>
      <w:r>
        <w:rPr>
          <w:rFonts w:ascii="Garamond" w:eastAsia="Garamond" w:hAnsi="Garamond" w:cs="Garamond"/>
          <w:color w:val="000000"/>
          <w:vertAlign w:val="subscript"/>
        </w:rPr>
        <w:t>mrt</w:t>
      </w:r>
      <w:proofErr w:type="spellEnd"/>
      <w:r>
        <w:rPr>
          <w:rFonts w:ascii="Garamond" w:eastAsia="Garamond" w:hAnsi="Garamond" w:cs="Garamond"/>
          <w:color w:val="000000"/>
        </w:rPr>
        <w:t xml:space="preserve"> even at ground level. These observations suggest that implementing patchy vegetative and shading interventions can effectively mitigate heat in the area. </w:t>
      </w:r>
    </w:p>
    <w:p w14:paraId="2DA32AF1"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AF2"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AF3" w14:textId="6C0E0A8B" w:rsidR="0083004B" w:rsidRDefault="00E14A9E">
      <w:pPr>
        <w:spacing w:after="0" w:line="240" w:lineRule="auto"/>
        <w:jc w:val="center"/>
      </w:pPr>
      <w:r>
        <w:rPr>
          <w:noProof/>
        </w:rPr>
        <w:lastRenderedPageBreak/>
        <w:drawing>
          <wp:inline distT="0" distB="0" distL="0" distR="0" wp14:anchorId="2DA32BDA" wp14:editId="2DA32BDB">
            <wp:extent cx="2396836" cy="2514600"/>
            <wp:effectExtent l="0" t="0" r="0" b="0"/>
            <wp:docPr id="1934501000" name="Picture 1934501000" descr="An aerial view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n aerial view of a city&#10;&#10;Description automatically generated"/>
                    <pic:cNvPicPr preferRelativeResize="0"/>
                  </pic:nvPicPr>
                  <pic:blipFill>
                    <a:blip r:embed="rId13"/>
                    <a:srcRect/>
                    <a:stretch>
                      <a:fillRect/>
                    </a:stretch>
                  </pic:blipFill>
                  <pic:spPr>
                    <a:xfrm>
                      <a:off x="0" y="0"/>
                      <a:ext cx="2396836" cy="2514600"/>
                    </a:xfrm>
                    <a:prstGeom prst="rect">
                      <a:avLst/>
                    </a:prstGeom>
                    <a:ln/>
                  </pic:spPr>
                </pic:pic>
              </a:graphicData>
            </a:graphic>
          </wp:inline>
        </w:drawing>
      </w:r>
      <w:sdt>
        <w:sdtPr>
          <w:tag w:val="goog_rdk_6"/>
          <w:id w:val="1756709146"/>
        </w:sdtPr>
        <w:sdtEndPr/>
        <w:sdtContent/>
      </w:sdt>
      <w:r>
        <w:rPr>
          <w:noProof/>
        </w:rPr>
        <w:drawing>
          <wp:inline distT="0" distB="0" distL="0" distR="0" wp14:anchorId="2DA32BDC" wp14:editId="2DA32BDD">
            <wp:extent cx="707314" cy="932204"/>
            <wp:effectExtent l="0" t="0" r="0" b="0"/>
            <wp:docPr id="1934500999" name="Picture 193450099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707314" cy="932204"/>
                    </a:xfrm>
                    <a:prstGeom prst="rect">
                      <a:avLst/>
                    </a:prstGeom>
                    <a:ln/>
                  </pic:spPr>
                </pic:pic>
              </a:graphicData>
            </a:graphic>
          </wp:inline>
        </w:drawing>
      </w:r>
    </w:p>
    <w:p w14:paraId="2DA32AF4" w14:textId="77777777" w:rsidR="0083004B" w:rsidRDefault="0083004B">
      <w:pPr>
        <w:spacing w:after="0" w:line="240" w:lineRule="auto"/>
        <w:rPr>
          <w:rFonts w:ascii="Garamond" w:eastAsia="Garamond" w:hAnsi="Garamond" w:cs="Garamond"/>
          <w:color w:val="000000"/>
        </w:rPr>
      </w:pPr>
    </w:p>
    <w:p w14:paraId="2DA32AF5" w14:textId="77777777" w:rsidR="0083004B" w:rsidRDefault="00E14A9E">
      <w:pPr>
        <w:spacing w:after="0" w:line="240" w:lineRule="auto"/>
        <w:jc w:val="center"/>
        <w:rPr>
          <w:rFonts w:ascii="Garamond" w:eastAsia="Garamond" w:hAnsi="Garamond" w:cs="Garamond"/>
          <w:color w:val="000000"/>
        </w:rPr>
      </w:pPr>
      <w:r>
        <w:rPr>
          <w:rFonts w:ascii="Garamond" w:eastAsia="Garamond" w:hAnsi="Garamond" w:cs="Garamond"/>
          <w:i/>
          <w:color w:val="000000"/>
        </w:rPr>
        <w:t>Figure 5.</w:t>
      </w:r>
      <w:r>
        <w:rPr>
          <w:rFonts w:ascii="Garamond" w:eastAsia="Garamond" w:hAnsi="Garamond" w:cs="Garamond"/>
          <w:color w:val="000000"/>
        </w:rPr>
        <w:t xml:space="preserve"> Mean Radiant Temperature </w:t>
      </w:r>
      <w:proofErr w:type="spellStart"/>
      <w:r>
        <w:rPr>
          <w:rFonts w:ascii="Garamond" w:eastAsia="Garamond" w:hAnsi="Garamond" w:cs="Garamond"/>
          <w:color w:val="000000"/>
        </w:rPr>
        <w:t>T</w:t>
      </w:r>
      <w:r>
        <w:rPr>
          <w:rFonts w:ascii="Garamond" w:eastAsia="Garamond" w:hAnsi="Garamond" w:cs="Garamond"/>
          <w:color w:val="000000"/>
          <w:vertAlign w:val="subscript"/>
        </w:rPr>
        <w:t>mrt</w:t>
      </w:r>
      <w:proofErr w:type="spellEnd"/>
      <w:r>
        <w:rPr>
          <w:rFonts w:ascii="Garamond" w:eastAsia="Garamond" w:hAnsi="Garamond" w:cs="Garamond"/>
          <w:color w:val="000000"/>
        </w:rPr>
        <w:t xml:space="preserve"> of a section of McElderry Park Neighborhood via SOLWEIG, mean over a 24-hour period; 15 August 2023.</w:t>
      </w:r>
    </w:p>
    <w:p w14:paraId="2DA32AF6" w14:textId="77777777" w:rsidR="0083004B" w:rsidRDefault="0083004B">
      <w:pPr>
        <w:spacing w:after="0" w:line="240" w:lineRule="auto"/>
        <w:rPr>
          <w:rFonts w:ascii="Garamond" w:eastAsia="Garamond" w:hAnsi="Garamond" w:cs="Garamond"/>
          <w:color w:val="000000"/>
        </w:rPr>
      </w:pPr>
    </w:p>
    <w:p w14:paraId="2DA32AF7" w14:textId="77777777" w:rsidR="0083004B" w:rsidRDefault="0083004B">
      <w:pPr>
        <w:spacing w:after="0" w:line="240" w:lineRule="auto"/>
        <w:rPr>
          <w:rFonts w:ascii="Garamond" w:eastAsia="Garamond" w:hAnsi="Garamond" w:cs="Garamond"/>
          <w:color w:val="000000"/>
        </w:rPr>
      </w:pPr>
    </w:p>
    <w:p w14:paraId="2DA32AF8" w14:textId="77777777" w:rsidR="0083004B" w:rsidRDefault="00E14A9E">
      <w:pPr>
        <w:spacing w:after="0" w:line="240" w:lineRule="auto"/>
        <w:rPr>
          <w:rFonts w:ascii="Garamond" w:eastAsia="Garamond" w:hAnsi="Garamond" w:cs="Garamond"/>
          <w:b/>
          <w:color w:val="000000"/>
        </w:rPr>
      </w:pPr>
      <w:r>
        <w:rPr>
          <w:rFonts w:ascii="Garamond" w:eastAsia="Garamond" w:hAnsi="Garamond" w:cs="Garamond"/>
          <w:b/>
          <w:color w:val="000000"/>
        </w:rPr>
        <w:t>4.2 Discussion</w:t>
      </w:r>
    </w:p>
    <w:p w14:paraId="2DA32AF9" w14:textId="77777777" w:rsidR="0083004B" w:rsidRDefault="00E14A9E">
      <w:pPr>
        <w:pBdr>
          <w:top w:val="nil"/>
          <w:left w:val="nil"/>
          <w:bottom w:val="nil"/>
          <w:right w:val="nil"/>
          <w:between w:val="nil"/>
        </w:pBdr>
        <w:spacing w:after="0" w:line="240" w:lineRule="auto"/>
        <w:rPr>
          <w:rFonts w:ascii="Garamond" w:eastAsia="Garamond" w:hAnsi="Garamond" w:cs="Garamond"/>
          <w:i/>
          <w:color w:val="000000"/>
        </w:rPr>
      </w:pPr>
      <w:r>
        <w:rPr>
          <w:rFonts w:ascii="Garamond" w:eastAsia="Garamond" w:hAnsi="Garamond" w:cs="Garamond"/>
          <w:i/>
          <w:color w:val="000000"/>
        </w:rPr>
        <w:t xml:space="preserve">4.2.1 Implications for Transit Service </w:t>
      </w:r>
    </w:p>
    <w:p w14:paraId="2DA32AFA" w14:textId="77777777" w:rsidR="0083004B" w:rsidRDefault="00E14A9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Our study aligns with existing scientific literature and previous DEVELOP projects, revealing the intricate nuances of urban heat and its implications for transportation systems. In Baltimore, our aim was to offer MTA informative visualizations to enhance their understanding of how UHI effects and extreme heat events impact their operations. We approached our analysis through an equity-oriented lens, shedding light on the complex interplay between social factors within a heat vulnerability framework. </w:t>
      </w:r>
    </w:p>
    <w:p w14:paraId="2DA32AFB"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AFC" w14:textId="77777777" w:rsidR="0083004B" w:rsidRDefault="00E14A9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One prominent finding from our research underscores the imperative of addressing both heat exposure and social vulnerability, as improvements in one aspect positively affect the other and vice versa. Baltimore’s aging infrastructure, particularly in downtown areas, is ill-equipped to mitigate extreme urban heat, and the coping capacity of many neighborhoods is inadequate. While studies have explored initiatives such as urban greening and innovative </w:t>
      </w:r>
      <w:r>
        <w:rPr>
          <w:rFonts w:ascii="Garamond" w:eastAsia="Garamond" w:hAnsi="Garamond" w:cs="Garamond"/>
        </w:rPr>
        <w:t>infrastructure</w:t>
      </w:r>
      <w:r>
        <w:rPr>
          <w:rFonts w:ascii="Garamond" w:eastAsia="Garamond" w:hAnsi="Garamond" w:cs="Garamond"/>
          <w:color w:val="000000"/>
        </w:rPr>
        <w:t xml:space="preserve"> upgrades, transportation services also have a pivotal role in mitigating urban heat (</w:t>
      </w:r>
      <w:proofErr w:type="spellStart"/>
      <w:r>
        <w:rPr>
          <w:rFonts w:ascii="Garamond" w:eastAsia="Garamond" w:hAnsi="Garamond" w:cs="Garamond"/>
          <w:color w:val="000000"/>
        </w:rPr>
        <w:t>Veerkamp</w:t>
      </w:r>
      <w:proofErr w:type="spellEnd"/>
      <w:r>
        <w:rPr>
          <w:rFonts w:ascii="Garamond" w:eastAsia="Garamond" w:hAnsi="Garamond" w:cs="Garamond"/>
          <w:color w:val="000000"/>
        </w:rPr>
        <w:t xml:space="preserve"> et al., 2021). </w:t>
      </w:r>
    </w:p>
    <w:p w14:paraId="2DA32AFD"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AFE" w14:textId="77777777" w:rsidR="0083004B" w:rsidRDefault="00E14A9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The MTA stands in a unique position to integrate urban heat resilience planning into their operations. Currently, bus on-time performance in Baltimore hovers around 72 percent, as of December 2023 (MDOT, 2024), with a short-term goal of reaching 80 percent. However, a more ambitious goal would not only enhance service reliability but also reduce user’s exposure to prolonged wait times during adverse summer conditions, ultimately encouraging greater utilization of MTA services. Furthermore, initiatives to promote core bus service utilization can significantly reduce car dependency in the city, thereby mitigating traffic congestion and emissions from single-occupancy vehicles. This approach also frees up resources for investment in sustainable initiatives such as electrifying the bus fleet and enhancing shade infrastructure as bus stops, consequently reducing heat vulnerability for both MTA assets and users. Our findings underscore the necessity of prioritizing interventions and actions within communities most vulnerable to heat stress, particularly those reliant on public transit for essential activities such as commuting and accessing amenities. Importantly, our research emphasizes that even empty buses contribute substantially to carbon emissions, highlighting the urgency of sustainable transportation strategies (Reason Foundation, 2010). </w:t>
      </w:r>
    </w:p>
    <w:p w14:paraId="2DA32AFF" w14:textId="77777777" w:rsidR="0083004B" w:rsidRDefault="0083004B">
      <w:pPr>
        <w:pBdr>
          <w:top w:val="nil"/>
          <w:left w:val="nil"/>
          <w:bottom w:val="nil"/>
          <w:right w:val="nil"/>
          <w:between w:val="nil"/>
        </w:pBdr>
        <w:spacing w:after="0" w:line="240" w:lineRule="auto"/>
        <w:rPr>
          <w:rFonts w:ascii="Garamond" w:eastAsia="Garamond" w:hAnsi="Garamond" w:cs="Garamond"/>
          <w:b/>
          <w:i/>
          <w:color w:val="000000"/>
        </w:rPr>
      </w:pPr>
    </w:p>
    <w:p w14:paraId="2DA32B00" w14:textId="77777777" w:rsidR="0083004B" w:rsidRDefault="0083004B">
      <w:pPr>
        <w:pBdr>
          <w:top w:val="nil"/>
          <w:left w:val="nil"/>
          <w:bottom w:val="nil"/>
          <w:right w:val="nil"/>
          <w:between w:val="nil"/>
        </w:pBdr>
        <w:spacing w:after="0" w:line="240" w:lineRule="auto"/>
        <w:rPr>
          <w:rFonts w:ascii="Garamond" w:eastAsia="Garamond" w:hAnsi="Garamond" w:cs="Garamond"/>
          <w:b/>
          <w:i/>
          <w:color w:val="000000"/>
        </w:rPr>
      </w:pPr>
    </w:p>
    <w:p w14:paraId="2DA32B01" w14:textId="77777777" w:rsidR="0083004B" w:rsidRDefault="0083004B">
      <w:pPr>
        <w:pBdr>
          <w:top w:val="nil"/>
          <w:left w:val="nil"/>
          <w:bottom w:val="nil"/>
          <w:right w:val="nil"/>
          <w:between w:val="nil"/>
        </w:pBdr>
        <w:spacing w:after="0" w:line="240" w:lineRule="auto"/>
        <w:rPr>
          <w:rFonts w:ascii="Garamond" w:eastAsia="Garamond" w:hAnsi="Garamond" w:cs="Garamond"/>
          <w:b/>
          <w:i/>
          <w:color w:val="000000"/>
        </w:rPr>
      </w:pPr>
    </w:p>
    <w:p w14:paraId="2DA32B02" w14:textId="77777777" w:rsidR="0083004B" w:rsidRDefault="00E14A9E">
      <w:pPr>
        <w:pBdr>
          <w:top w:val="nil"/>
          <w:left w:val="nil"/>
          <w:bottom w:val="nil"/>
          <w:right w:val="nil"/>
          <w:between w:val="nil"/>
        </w:pBdr>
        <w:spacing w:after="0" w:line="240" w:lineRule="auto"/>
        <w:rPr>
          <w:rFonts w:ascii="Garamond" w:eastAsia="Garamond" w:hAnsi="Garamond" w:cs="Garamond"/>
          <w:i/>
          <w:color w:val="000000"/>
        </w:rPr>
      </w:pPr>
      <w:r>
        <w:rPr>
          <w:rFonts w:ascii="Garamond" w:eastAsia="Garamond" w:hAnsi="Garamond" w:cs="Garamond"/>
          <w:i/>
          <w:color w:val="000000"/>
        </w:rPr>
        <w:t>4.2.2 Feasibility for Partner Use</w:t>
      </w:r>
    </w:p>
    <w:p w14:paraId="2DA32B03" w14:textId="5CC15D23" w:rsidR="0083004B" w:rsidRDefault="00E14A9E">
      <w:pPr>
        <w:spacing w:after="0" w:line="240" w:lineRule="auto"/>
        <w:rPr>
          <w:rFonts w:ascii="Garamond" w:eastAsia="Garamond" w:hAnsi="Garamond" w:cs="Garamond"/>
          <w:color w:val="000000"/>
        </w:rPr>
      </w:pPr>
      <w:r w:rsidRPr="4383B72F">
        <w:rPr>
          <w:rFonts w:ascii="Garamond" w:eastAsia="Garamond" w:hAnsi="Garamond" w:cs="Garamond"/>
          <w:color w:val="000000" w:themeColor="text1"/>
        </w:rPr>
        <w:t xml:space="preserve">NASA EOs proved invaluable in characterizing urban heat dynamics at the macro scale. </w:t>
      </w:r>
      <w:sdt>
        <w:sdtPr>
          <w:tag w:val="goog_rdk_7"/>
          <w:id w:val="-1041819707"/>
        </w:sdtPr>
        <w:sdtEndPr/>
        <w:sdtContent/>
      </w:sdt>
      <w:sdt>
        <w:sdtPr>
          <w:tag w:val="goog_rdk_8"/>
          <w:id w:val="455226991"/>
        </w:sdtPr>
        <w:sdtEndPr/>
        <w:sdtContent/>
      </w:sdt>
      <w:sdt>
        <w:sdtPr>
          <w:tag w:val="goog_rdk_9"/>
          <w:id w:val="-1639340243"/>
        </w:sdtPr>
        <w:sdtEndPr/>
        <w:sdtContent/>
      </w:sdt>
      <w:r w:rsidRPr="4383B72F">
        <w:rPr>
          <w:rFonts w:ascii="Garamond" w:eastAsia="Garamond" w:hAnsi="Garamond" w:cs="Garamond"/>
          <w:color w:val="000000" w:themeColor="text1"/>
        </w:rPr>
        <w:t xml:space="preserve">Landsat 8 TIRS played a crucial role by consistently providing heat data throughout our study period with its </w:t>
      </w:r>
      <w:r w:rsidRPr="4383B72F">
        <w:rPr>
          <w:rFonts w:ascii="Garamond" w:eastAsia="Garamond" w:hAnsi="Garamond" w:cs="Garamond"/>
        </w:rPr>
        <w:t>100</w:t>
      </w:r>
      <w:r w:rsidRPr="4383B72F">
        <w:rPr>
          <w:rFonts w:ascii="Garamond" w:eastAsia="Garamond" w:hAnsi="Garamond" w:cs="Garamond"/>
          <w:color w:val="000000" w:themeColor="text1"/>
        </w:rPr>
        <w:t xml:space="preserve">-meter resolution. </w:t>
      </w:r>
      <w:r w:rsidRPr="4383B72F">
        <w:rPr>
          <w:rFonts w:ascii="Garamond" w:eastAsia="Garamond" w:hAnsi="Garamond" w:cs="Garamond"/>
        </w:rPr>
        <w:t>Landsat 8 OLI provided additional natural and built-environmental</w:t>
      </w:r>
      <w:r w:rsidRPr="4383B72F">
        <w:rPr>
          <w:rFonts w:ascii="Garamond" w:eastAsia="Garamond" w:hAnsi="Garamond" w:cs="Garamond"/>
          <w:color w:val="000000" w:themeColor="text1"/>
        </w:rPr>
        <w:t xml:space="preserve"> data at a resolution of 30-meters </w:t>
      </w:r>
      <w:r w:rsidRPr="4383B72F">
        <w:rPr>
          <w:rFonts w:ascii="Garamond" w:eastAsia="Garamond" w:hAnsi="Garamond" w:cs="Garamond"/>
        </w:rPr>
        <w:t>that provided</w:t>
      </w:r>
      <w:r w:rsidRPr="4383B72F">
        <w:rPr>
          <w:rFonts w:ascii="Garamond" w:eastAsia="Garamond" w:hAnsi="Garamond" w:cs="Garamond"/>
          <w:color w:val="000000" w:themeColor="text1"/>
        </w:rPr>
        <w:t xml:space="preserve"> </w:t>
      </w:r>
      <w:r w:rsidRPr="4383B72F">
        <w:rPr>
          <w:rFonts w:ascii="Garamond" w:eastAsia="Garamond" w:hAnsi="Garamond" w:cs="Garamond"/>
        </w:rPr>
        <w:t>the</w:t>
      </w:r>
      <w:r w:rsidRPr="4383B72F">
        <w:rPr>
          <w:rFonts w:ascii="Garamond" w:eastAsia="Garamond" w:hAnsi="Garamond" w:cs="Garamond"/>
          <w:color w:val="000000" w:themeColor="text1"/>
        </w:rPr>
        <w:t xml:space="preserve"> context of </w:t>
      </w:r>
      <w:r w:rsidRPr="4383B72F">
        <w:rPr>
          <w:rFonts w:ascii="Garamond" w:eastAsia="Garamond" w:hAnsi="Garamond" w:cs="Garamond"/>
        </w:rPr>
        <w:t>environmental conditions that either exacerbated or diminished the intensity of heat events.</w:t>
      </w:r>
      <w:r w:rsidRPr="4383B72F">
        <w:rPr>
          <w:rFonts w:ascii="Garamond" w:eastAsia="Garamond" w:hAnsi="Garamond" w:cs="Garamond"/>
          <w:color w:val="000000" w:themeColor="text1"/>
        </w:rPr>
        <w:t xml:space="preserve"> </w:t>
      </w:r>
      <w:r w:rsidRPr="4383B72F">
        <w:rPr>
          <w:rFonts w:ascii="Garamond" w:eastAsia="Garamond" w:hAnsi="Garamond" w:cs="Garamond"/>
        </w:rPr>
        <w:t>An additional</w:t>
      </w:r>
      <w:r w:rsidRPr="4383B72F">
        <w:rPr>
          <w:rFonts w:ascii="Garamond" w:eastAsia="Garamond" w:hAnsi="Garamond" w:cs="Garamond"/>
          <w:color w:val="000000" w:themeColor="text1"/>
        </w:rPr>
        <w:t xml:space="preserve"> </w:t>
      </w:r>
      <w:r w:rsidRPr="4383B72F">
        <w:rPr>
          <w:rFonts w:ascii="Garamond" w:eastAsia="Garamond" w:hAnsi="Garamond" w:cs="Garamond"/>
        </w:rPr>
        <w:t>advantage</w:t>
      </w:r>
      <w:r w:rsidRPr="4383B72F">
        <w:rPr>
          <w:rFonts w:ascii="Garamond" w:eastAsia="Garamond" w:hAnsi="Garamond" w:cs="Garamond"/>
          <w:color w:val="000000" w:themeColor="text1"/>
        </w:rPr>
        <w:t xml:space="preserve"> we encountered with Landsat 8 was its pass over time over Baltimore, typically a</w:t>
      </w:r>
      <w:r w:rsidRPr="4383B72F">
        <w:rPr>
          <w:rFonts w:ascii="Garamond" w:eastAsia="Garamond" w:hAnsi="Garamond" w:cs="Garamond"/>
        </w:rPr>
        <w:t>t</w:t>
      </w:r>
      <w:r w:rsidRPr="4383B72F">
        <w:rPr>
          <w:rFonts w:ascii="Garamond" w:eastAsia="Garamond" w:hAnsi="Garamond" w:cs="Garamond"/>
          <w:color w:val="000000" w:themeColor="text1"/>
        </w:rPr>
        <w:t xml:space="preserve"> </w:t>
      </w:r>
      <w:r w:rsidR="00CC7EF2" w:rsidRPr="4383B72F">
        <w:rPr>
          <w:rFonts w:ascii="Garamond" w:eastAsia="Garamond" w:hAnsi="Garamond" w:cs="Garamond"/>
        </w:rPr>
        <w:t>10</w:t>
      </w:r>
      <w:r w:rsidRPr="4383B72F">
        <w:rPr>
          <w:rFonts w:ascii="Garamond" w:eastAsia="Garamond" w:hAnsi="Garamond" w:cs="Garamond"/>
        </w:rPr>
        <w:t xml:space="preserve">:39 </w:t>
      </w:r>
      <w:r w:rsidR="00CC7EF2" w:rsidRPr="4383B72F">
        <w:rPr>
          <w:rFonts w:ascii="Garamond" w:eastAsia="Garamond" w:hAnsi="Garamond" w:cs="Garamond"/>
        </w:rPr>
        <w:t>a</w:t>
      </w:r>
      <w:r w:rsidRPr="4383B72F">
        <w:rPr>
          <w:rFonts w:ascii="Garamond" w:eastAsia="Garamond" w:hAnsi="Garamond" w:cs="Garamond"/>
        </w:rPr>
        <w:t>m</w:t>
      </w:r>
      <w:sdt>
        <w:sdtPr>
          <w:tag w:val="goog_rdk_10"/>
          <w:id w:val="569316063"/>
        </w:sdtPr>
        <w:sdtEndPr/>
        <w:sdtContent/>
      </w:sdt>
      <w:sdt>
        <w:sdtPr>
          <w:tag w:val="goog_rdk_11"/>
          <w:id w:val="1395158893"/>
        </w:sdtPr>
        <w:sdtEndPr/>
        <w:sdtContent/>
      </w:sdt>
      <w:sdt>
        <w:sdtPr>
          <w:tag w:val="goog_rdk_12"/>
          <w:id w:val="186032665"/>
        </w:sdtPr>
        <w:sdtEndPr/>
        <w:sdtContent/>
      </w:sdt>
      <w:r w:rsidRPr="4383B72F">
        <w:rPr>
          <w:rFonts w:ascii="Garamond" w:eastAsia="Garamond" w:hAnsi="Garamond" w:cs="Garamond"/>
          <w:color w:val="000000" w:themeColor="text1"/>
        </w:rPr>
        <w:t xml:space="preserve"> local time, </w:t>
      </w:r>
      <w:r w:rsidRPr="4383B72F">
        <w:rPr>
          <w:rFonts w:ascii="Garamond" w:eastAsia="Garamond" w:hAnsi="Garamond" w:cs="Garamond"/>
        </w:rPr>
        <w:t>which was able to</w:t>
      </w:r>
      <w:r w:rsidRPr="4383B72F">
        <w:rPr>
          <w:rFonts w:ascii="Garamond" w:eastAsia="Garamond" w:hAnsi="Garamond" w:cs="Garamond"/>
          <w:color w:val="000000" w:themeColor="text1"/>
        </w:rPr>
        <w:t xml:space="preserve"> accurately and </w:t>
      </w:r>
      <w:r w:rsidRPr="4383B72F">
        <w:rPr>
          <w:rFonts w:ascii="Garamond" w:eastAsia="Garamond" w:hAnsi="Garamond" w:cs="Garamond"/>
        </w:rPr>
        <w:t>consistently</w:t>
      </w:r>
      <w:r w:rsidRPr="4383B72F">
        <w:rPr>
          <w:rFonts w:ascii="Garamond" w:eastAsia="Garamond" w:hAnsi="Garamond" w:cs="Garamond"/>
          <w:color w:val="000000" w:themeColor="text1"/>
        </w:rPr>
        <w:t xml:space="preserve"> capture peak heat conditions</w:t>
      </w:r>
      <w:r w:rsidRPr="4383B72F">
        <w:rPr>
          <w:rFonts w:ascii="Garamond" w:eastAsia="Garamond" w:hAnsi="Garamond" w:cs="Garamond"/>
        </w:rPr>
        <w:t xml:space="preserve">. </w:t>
      </w:r>
      <w:r w:rsidRPr="4383B72F">
        <w:rPr>
          <w:rFonts w:ascii="Garamond" w:eastAsia="Garamond" w:hAnsi="Garamond" w:cs="Garamond"/>
          <w:color w:val="000000" w:themeColor="text1"/>
        </w:rPr>
        <w:t xml:space="preserve">Terra MODIS and Aqua MODIS satellites and sensors were integral to our analysis, allowing us to study nighttime LST and NDWI across our study area despite their coarse spatial resolution of 500 meters to one kilometer, which limited detailed nighttime heat assessments in Baltimore City, Terra MODIS provided a suitable alternative to ISS ECOSTRESS due to its consistent coverage throughout our study period and ease of access via various software tools. Although MODIS is scheduled for decommissioning, we encourage studies to explore its utility. For assessing thermal comfort via </w:t>
      </w:r>
      <w:proofErr w:type="spellStart"/>
      <w:r w:rsidRPr="4383B72F">
        <w:rPr>
          <w:rFonts w:ascii="Garamond" w:eastAsia="Garamond" w:hAnsi="Garamond" w:cs="Garamond"/>
          <w:color w:val="000000" w:themeColor="text1"/>
        </w:rPr>
        <w:t>T</w:t>
      </w:r>
      <w:r w:rsidRPr="4383B72F">
        <w:rPr>
          <w:rFonts w:ascii="Garamond" w:eastAsia="Garamond" w:hAnsi="Garamond" w:cs="Garamond"/>
          <w:color w:val="000000" w:themeColor="text1"/>
          <w:vertAlign w:val="subscript"/>
        </w:rPr>
        <w:t>mrt</w:t>
      </w:r>
      <w:proofErr w:type="spellEnd"/>
      <w:r w:rsidRPr="4383B72F">
        <w:rPr>
          <w:rFonts w:ascii="Garamond" w:eastAsia="Garamond" w:hAnsi="Garamond" w:cs="Garamond"/>
          <w:color w:val="000000" w:themeColor="text1"/>
        </w:rPr>
        <w:t xml:space="preserve">, NASA EO products due to their insufficient resolution and lack of elevation data required for UMEP processing in SOLWEIG. Access to open-source, high resolution, up-to-date EO data is essential for addressing earth science inquiry.  Leveraging NASA EOs was foundational to our study and holds promise for future urban energy and infrastructure investigations. </w:t>
      </w:r>
    </w:p>
    <w:p w14:paraId="2DA32B04" w14:textId="77777777" w:rsidR="0083004B" w:rsidRDefault="0083004B">
      <w:pPr>
        <w:spacing w:after="0" w:line="240" w:lineRule="auto"/>
        <w:rPr>
          <w:rFonts w:ascii="Garamond" w:eastAsia="Garamond" w:hAnsi="Garamond" w:cs="Garamond"/>
          <w:color w:val="000000"/>
        </w:rPr>
      </w:pPr>
    </w:p>
    <w:p w14:paraId="2DA32B05" w14:textId="77777777" w:rsidR="0083004B" w:rsidRDefault="00E14A9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Garamond" w:eastAsia="Garamond" w:hAnsi="Garamond" w:cs="Garamond"/>
          <w:color w:val="000000"/>
        </w:rPr>
      </w:pPr>
      <w:r>
        <w:rPr>
          <w:rFonts w:ascii="Garamond" w:eastAsia="Garamond" w:hAnsi="Garamond" w:cs="Garamond"/>
          <w:color w:val="000000"/>
        </w:rPr>
        <w:t xml:space="preserve">Our partners will have access to and can utilize &amp; update the visualizations we created in the ArcGIS Pro platform for resiliency planning. They can follow our workflows by integrating elements of our HVI work into their existing resiliency toolbox. We used publicly accessible data throughout our project, thereby enhancing the MTA’s ability to replicate our work and extend it to analyze other types of transit and counties across Maryland. </w:t>
      </w:r>
    </w:p>
    <w:p w14:paraId="2DA32B06"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B07" w14:textId="77777777" w:rsidR="0083004B" w:rsidRDefault="00E14A9E">
      <w:pPr>
        <w:spacing w:after="0" w:line="240" w:lineRule="auto"/>
        <w:rPr>
          <w:rFonts w:ascii="Garamond" w:eastAsia="Garamond" w:hAnsi="Garamond" w:cs="Garamond"/>
          <w:b/>
          <w:color w:val="000000"/>
        </w:rPr>
      </w:pPr>
      <w:r>
        <w:rPr>
          <w:rFonts w:ascii="Garamond" w:eastAsia="Garamond" w:hAnsi="Garamond" w:cs="Garamond"/>
          <w:b/>
          <w:color w:val="000000"/>
        </w:rPr>
        <w:t>4.3 Limitations and Considerations</w:t>
      </w:r>
    </w:p>
    <w:p w14:paraId="2DA32B08" w14:textId="77777777" w:rsidR="0083004B" w:rsidRDefault="00E14A9E">
      <w:pPr>
        <w:spacing w:after="0" w:line="240" w:lineRule="auto"/>
        <w:rPr>
          <w:rFonts w:ascii="Garamond" w:eastAsia="Garamond" w:hAnsi="Garamond" w:cs="Garamond"/>
          <w:i/>
          <w:color w:val="000000"/>
        </w:rPr>
      </w:pPr>
      <w:r>
        <w:rPr>
          <w:rFonts w:ascii="Garamond" w:eastAsia="Garamond" w:hAnsi="Garamond" w:cs="Garamond"/>
          <w:i/>
          <w:color w:val="000000"/>
        </w:rPr>
        <w:t>4.3.1 Limitations</w:t>
      </w:r>
    </w:p>
    <w:p w14:paraId="2DA32B09"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We encountered two main challenges: navigating the learning curve and streamlining workflows. On a technical level, limitations arose due to the high thermal band resolution for LST analysis being 100 meters, posing difficulties in pinpointing heat distribution block by block. Similar challenges were encountered with Aqua and Terra MODIS, which offered resolutions of 500 meters to 1 kilometer. Additionally, there were struggles in efficiently collecting the necessary data for various analyses. Time constraints forced us to hardcode additional variables into the PCA model without adequate validation, ultimately reverting to the original variables from the UHEAT 1.0. Another hurdle was the inability to obtain combined census data for Baltimore County and Baltimore City, as </w:t>
      </w:r>
      <w:proofErr w:type="spellStart"/>
      <w:r>
        <w:rPr>
          <w:rFonts w:ascii="Garamond" w:eastAsia="Garamond" w:hAnsi="Garamond" w:cs="Garamond"/>
          <w:color w:val="000000"/>
        </w:rPr>
        <w:t>Tidycensus</w:t>
      </w:r>
      <w:proofErr w:type="spellEnd"/>
      <w:r>
        <w:rPr>
          <w:rFonts w:ascii="Garamond" w:eastAsia="Garamond" w:hAnsi="Garamond" w:cs="Garamond"/>
          <w:color w:val="000000"/>
        </w:rPr>
        <w:t xml:space="preserve"> only accommodates census data acquisition for one geographic level. Attempts to run a Thermal Comfort Assessment (OTC) using the SOLWEIG Model in QGIS were hindered by the lack of recent spatial inputs, necessitating the use of outdated elevation data. </w:t>
      </w:r>
    </w:p>
    <w:p w14:paraId="2DA32B0A"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Given the outdated data used to run the SOLWEIG model, the results should be approached with skepticism. Furthermore, while SOLWEIG demonstrates better performance than other models such as </w:t>
      </w:r>
      <w:proofErr w:type="spellStart"/>
      <w:r>
        <w:rPr>
          <w:rFonts w:ascii="Garamond" w:eastAsia="Garamond" w:hAnsi="Garamond" w:cs="Garamond"/>
          <w:color w:val="000000"/>
        </w:rPr>
        <w:t>RayMan</w:t>
      </w:r>
      <w:proofErr w:type="spellEnd"/>
      <w:r>
        <w:rPr>
          <w:rFonts w:ascii="Garamond" w:eastAsia="Garamond" w:hAnsi="Garamond" w:cs="Garamond"/>
          <w:color w:val="000000"/>
        </w:rPr>
        <w:t xml:space="preserve"> and ENVI-met (Du et al. 2021), the inability to access current and usable data posed a significant obstacle to the model’s success in this project. Overall, the project faced a demanding schedule that required learning and adapting on the go, with tight turnarounds for deliverables. Despite utilizing all available tools, limited time and experience constrained the extent of our analysis. Given more time and opportunities to work with up-to-date data, a more comprehensive analysis could have been achieved. </w:t>
      </w:r>
    </w:p>
    <w:p w14:paraId="2DA32B0B" w14:textId="77777777" w:rsidR="0083004B" w:rsidRDefault="0083004B">
      <w:pPr>
        <w:spacing w:after="0" w:line="240" w:lineRule="auto"/>
        <w:rPr>
          <w:rFonts w:ascii="Garamond" w:eastAsia="Garamond" w:hAnsi="Garamond" w:cs="Garamond"/>
          <w:color w:val="000000"/>
        </w:rPr>
      </w:pPr>
    </w:p>
    <w:p w14:paraId="2DA32B0C" w14:textId="77777777" w:rsidR="0083004B" w:rsidRDefault="00E14A9E">
      <w:pPr>
        <w:spacing w:after="0" w:line="240" w:lineRule="auto"/>
        <w:rPr>
          <w:rFonts w:ascii="Garamond" w:eastAsia="Garamond" w:hAnsi="Garamond" w:cs="Garamond"/>
          <w:i/>
          <w:color w:val="000000"/>
        </w:rPr>
      </w:pPr>
      <w:r>
        <w:rPr>
          <w:rFonts w:ascii="Garamond" w:eastAsia="Garamond" w:hAnsi="Garamond" w:cs="Garamond"/>
          <w:i/>
          <w:color w:val="000000"/>
        </w:rPr>
        <w:t>4.3.2 Considerations</w:t>
      </w:r>
    </w:p>
    <w:p w14:paraId="2DA32B0D"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The lack of resources from partners presents a significant challenge as teams often struggle to acquire data that is inaccessible, unusable, or outdated. This perpetuates a cycle where these groups rely on third parties to access the necessary data and information for informed decision-making. This issue is a particularly concerning hurdle in the public sector, where some agencies lack access to up-to-date data </w:t>
      </w:r>
      <w:r>
        <w:rPr>
          <w:rFonts w:ascii="Garamond" w:eastAsia="Garamond" w:hAnsi="Garamond" w:cs="Garamond"/>
        </w:rPr>
        <w:t>essential for effective</w:t>
      </w:r>
      <w:r>
        <w:rPr>
          <w:rFonts w:ascii="Garamond" w:eastAsia="Garamond" w:hAnsi="Garamond" w:cs="Garamond"/>
          <w:color w:val="000000"/>
        </w:rPr>
        <w:t xml:space="preserve"> climate change adaptation and mitigation efforts. This dependency on external sources hinders </w:t>
      </w:r>
      <w:r>
        <w:rPr>
          <w:rFonts w:ascii="Garamond" w:eastAsia="Garamond" w:hAnsi="Garamond" w:cs="Garamond"/>
          <w:color w:val="000000"/>
        </w:rPr>
        <w:lastRenderedPageBreak/>
        <w:t xml:space="preserve">partners’ ability to replicate our work successfully. Despite the hurdles encountered in obtaining usable data, particularly for input into the SOLWEIG model, we managed to provide the MTA with products that could be integrated into their existing ArcGIS Pro platform, enhancing their resiliency toolbox. </w:t>
      </w:r>
    </w:p>
    <w:p w14:paraId="2DA32B0E" w14:textId="77777777" w:rsidR="0083004B" w:rsidRDefault="0083004B">
      <w:pPr>
        <w:spacing w:after="0" w:line="240" w:lineRule="auto"/>
        <w:rPr>
          <w:rFonts w:ascii="Garamond" w:eastAsia="Garamond" w:hAnsi="Garamond" w:cs="Garamond"/>
          <w:color w:val="000000"/>
        </w:rPr>
      </w:pPr>
    </w:p>
    <w:p w14:paraId="2DA32B0F" w14:textId="77777777" w:rsidR="0083004B" w:rsidRDefault="00E14A9E">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4.4 Future Recommendations</w:t>
      </w:r>
    </w:p>
    <w:p w14:paraId="2DA32B10" w14:textId="77777777" w:rsidR="0083004B" w:rsidRDefault="00E14A9E">
      <w:pPr>
        <w:pBdr>
          <w:top w:val="nil"/>
          <w:left w:val="nil"/>
          <w:bottom w:val="nil"/>
          <w:right w:val="nil"/>
          <w:between w:val="nil"/>
        </w:pBdr>
        <w:spacing w:after="0" w:line="240" w:lineRule="auto"/>
        <w:rPr>
          <w:rFonts w:ascii="Garamond" w:eastAsia="Garamond" w:hAnsi="Garamond" w:cs="Garamond"/>
          <w:i/>
          <w:color w:val="000000"/>
        </w:rPr>
      </w:pPr>
      <w:r>
        <w:rPr>
          <w:rFonts w:ascii="Garamond" w:eastAsia="Garamond" w:hAnsi="Garamond" w:cs="Garamond"/>
          <w:i/>
          <w:color w:val="000000"/>
        </w:rPr>
        <w:t>4.4.1 HVI Improvements</w:t>
      </w:r>
    </w:p>
    <w:p w14:paraId="2DA32B11" w14:textId="77777777" w:rsidR="0083004B" w:rsidRDefault="00E14A9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For future iterations of this project or similar endeavors, a more comprehensive HVI is strongly recommended. Due to time constraints, only four social variables were included in the construction of the HVI, which does not fully capture the complexity and diversity of vulnerable factors in urban communities. Originally, we intended to incorporate additional variables such as (1) percent unemployed, (2) houses built before 1980, and (3) percent non-English speaking. Additionally, given the project’s focus on the intersecting relationship between extreme heat, public transportation, and urban needs, transit-related data should have been integrated into the HVI. Suggestions for future transit-related variables include household vehicle ownership and proximity to public transit stops. Enriching the array of social variables within the HVI framework would provide a more comprehensive and holistic analysis of the true indicators of social vulnerability present in urban communities.</w:t>
      </w:r>
    </w:p>
    <w:p w14:paraId="2DA32B12"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B13" w14:textId="77777777" w:rsidR="0083004B" w:rsidRDefault="00E14A9E">
      <w:pPr>
        <w:pBdr>
          <w:top w:val="nil"/>
          <w:left w:val="nil"/>
          <w:bottom w:val="nil"/>
          <w:right w:val="nil"/>
          <w:between w:val="nil"/>
        </w:pBdr>
        <w:spacing w:after="0" w:line="240" w:lineRule="auto"/>
        <w:rPr>
          <w:rFonts w:ascii="Garamond" w:eastAsia="Garamond" w:hAnsi="Garamond" w:cs="Garamond"/>
          <w:i/>
          <w:color w:val="000000"/>
        </w:rPr>
      </w:pPr>
      <w:r>
        <w:rPr>
          <w:rFonts w:ascii="Garamond" w:eastAsia="Garamond" w:hAnsi="Garamond" w:cs="Garamond"/>
          <w:i/>
          <w:color w:val="000000"/>
        </w:rPr>
        <w:t>4.4.2 Data Resolution</w:t>
      </w:r>
    </w:p>
    <w:p w14:paraId="2DA32B14" w14:textId="77777777" w:rsidR="0083004B" w:rsidRDefault="00E14A9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While NASA EOs represent a crucial component of publicly available satellite and sensor data, there is a clear opportunity for NASA to leverage emerging technologies in their next generation of satellites and sensors that can provide higher resolution imagery and measurements. Advancements that enable higher resolution imagery and measurements would significantly enhance their accuracy and applicability of EOs in both research and broader earth science endeavors. Future urban heat studies stand to benefit from this enhanced granularity, facilitating more precise analysis of heat distribution and land cover trends over time. Additionally, data management presented a significant challenge for our team, reflecting broader issues encountered by society. In future work, we hope for enhanced accessibility and user-friendliness of data resources to streamline workflows and minimize the learning curve. </w:t>
      </w:r>
    </w:p>
    <w:p w14:paraId="2DA32B15" w14:textId="77777777" w:rsidR="0083004B" w:rsidRDefault="0083004B">
      <w:pPr>
        <w:spacing w:after="0" w:line="240" w:lineRule="auto"/>
        <w:rPr>
          <w:rFonts w:ascii="Garamond" w:eastAsia="Garamond" w:hAnsi="Garamond" w:cs="Garamond"/>
          <w:color w:val="000000"/>
        </w:rPr>
      </w:pPr>
    </w:p>
    <w:p w14:paraId="2DA32B16" w14:textId="77777777" w:rsidR="0083004B" w:rsidRDefault="00E14A9E">
      <w:pPr>
        <w:spacing w:after="0" w:line="240" w:lineRule="auto"/>
        <w:rPr>
          <w:rFonts w:ascii="Garamond" w:eastAsia="Garamond" w:hAnsi="Garamond" w:cs="Garamond"/>
          <w:i/>
          <w:color w:val="000000"/>
        </w:rPr>
      </w:pPr>
      <w:r>
        <w:rPr>
          <w:rFonts w:ascii="Garamond" w:eastAsia="Garamond" w:hAnsi="Garamond" w:cs="Garamond"/>
          <w:i/>
          <w:color w:val="000000"/>
        </w:rPr>
        <w:t>4.4.3 Environmental Justice</w:t>
      </w:r>
    </w:p>
    <w:p w14:paraId="2DA32B17"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In the future, urban heat studies could greatly benefit from integrating a public outreach and community engagement component. This would involve informing communities experiencing extreme heat conditions about the associated dangers and encouraging them to share their lived experiences with organizations conducting these studies. Urban heat affects different demographics unequally, considering factors such as age, race, and socioeconomic status. By incorporating input from a diverse range of community members, agencies can develop tailored and effective mitigation strategies. This collaborative approach not only fosters trust but also empowers communities to actively participate in risk reduction efforts. Additionally, sharing information about the initiatives undertaken by organizations like the MTA can enhance transparency and instill optimism among communities regarding progress and future steps. Providing communities with insights into ongoing efforts can inspire and empower them to engage and contribute to these initiatives. With access to comprehensive heat data and input from the local communities, agencies can make informed decisions on implementing adaptive strategies in urban areas and safeguarding MTA assets from the impacts of extreme heat conditions.</w:t>
      </w:r>
    </w:p>
    <w:p w14:paraId="2DA32B18" w14:textId="77777777" w:rsidR="0083004B" w:rsidRDefault="0083004B">
      <w:pPr>
        <w:spacing w:after="0" w:line="240" w:lineRule="auto"/>
        <w:rPr>
          <w:rFonts w:ascii="Garamond" w:eastAsia="Garamond" w:hAnsi="Garamond" w:cs="Garamond"/>
          <w:color w:val="000000"/>
        </w:rPr>
      </w:pPr>
    </w:p>
    <w:p w14:paraId="2DA32B19" w14:textId="77777777" w:rsidR="0083004B" w:rsidRDefault="00E14A9E">
      <w:pPr>
        <w:pStyle w:val="Heading1"/>
        <w:spacing w:before="0" w:line="240" w:lineRule="auto"/>
        <w:rPr>
          <w:rFonts w:ascii="Garamond" w:eastAsia="Garamond" w:hAnsi="Garamond" w:cs="Garamond"/>
          <w:b/>
          <w:color w:val="365F91"/>
          <w:sz w:val="28"/>
          <w:szCs w:val="28"/>
        </w:rPr>
      </w:pPr>
      <w:r>
        <w:rPr>
          <w:rFonts w:ascii="Garamond" w:eastAsia="Garamond" w:hAnsi="Garamond" w:cs="Garamond"/>
          <w:b/>
          <w:color w:val="365F91"/>
          <w:sz w:val="28"/>
          <w:szCs w:val="28"/>
        </w:rPr>
        <w:t>5. Conclusions</w:t>
      </w:r>
    </w:p>
    <w:p w14:paraId="2DA32B1A" w14:textId="77777777" w:rsidR="0083004B" w:rsidRDefault="00E14A9E">
      <w:pPr>
        <w:rPr>
          <w:rFonts w:ascii="Garamond" w:eastAsia="Garamond" w:hAnsi="Garamond" w:cs="Garamond"/>
        </w:rPr>
      </w:pPr>
      <w:r>
        <w:rPr>
          <w:rFonts w:ascii="Garamond" w:eastAsia="Garamond" w:hAnsi="Garamond" w:cs="Garamond"/>
        </w:rPr>
        <w:t xml:space="preserve">While previous heat vulnerability studies have been conducted in urban areas, this project sought to tackle the issue of vulnerability in conversation with public transportation, specifically core urban bus services. Through a comprehensive heat assessment, our team visualized heat distribution across Baltimore City and County. This data was then combined with social vulnerability parameters to analyze heat vulnerability distributions in Baltimore City. Additionally, the project delved deeper by providing a case study illustrating thermal comfort at bus stops in the city to facilitate further exploration and discussion by our partners of next steps forward in their resiliency planning and actions. These products will enable MTA to be a more informed and equitable </w:t>
      </w:r>
      <w:r>
        <w:rPr>
          <w:rFonts w:ascii="Garamond" w:eastAsia="Garamond" w:hAnsi="Garamond" w:cs="Garamond"/>
        </w:rPr>
        <w:lastRenderedPageBreak/>
        <w:t>stakeholder in its transportation operations in Baltimore City, Baltimore County and beyond as they grapple with increased pressures from urban heat.</w:t>
      </w:r>
    </w:p>
    <w:p w14:paraId="2DA32B1B" w14:textId="77777777" w:rsidR="0083004B" w:rsidRDefault="00E14A9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Our work provides valuable insights for the MTA to identify areas where site-specific interventions can yield substantial reductions in overall heat vulnerability. By integrating bus user data with heat data, the MTA can establish a prioritization system for interventions targeting both users and assets, streamlining their heat resiliency planning efforts. Using the HPS system, the MTA can monitor progress, track changes, and set goals over time in identified neighborhoods (Figure 4). Furthermore, SOLWEIG modeling offers a benchmark assessment of thermal comfort for bus users in neighborhoods requiring heat mitigation interventions. </w:t>
      </w:r>
    </w:p>
    <w:p w14:paraId="2DA32B1C"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B1D" w14:textId="77777777" w:rsidR="0083004B" w:rsidRDefault="00E14A9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In the future, leveraging batch processing capabilities to run SOLWEIG for multiple areas of interest could enhance visualization of </w:t>
      </w:r>
      <w:proofErr w:type="spellStart"/>
      <w:r>
        <w:rPr>
          <w:rFonts w:ascii="Garamond" w:eastAsia="Garamond" w:hAnsi="Garamond" w:cs="Garamond"/>
          <w:color w:val="000000"/>
        </w:rPr>
        <w:t>T</w:t>
      </w:r>
      <w:r>
        <w:rPr>
          <w:rFonts w:ascii="Garamond" w:eastAsia="Garamond" w:hAnsi="Garamond" w:cs="Garamond"/>
          <w:color w:val="000000"/>
          <w:vertAlign w:val="subscript"/>
        </w:rPr>
        <w:t>mrt</w:t>
      </w:r>
      <w:proofErr w:type="spellEnd"/>
      <w:r>
        <w:rPr>
          <w:rFonts w:ascii="Garamond" w:eastAsia="Garamond" w:hAnsi="Garamond" w:cs="Garamond"/>
          <w:color w:val="000000"/>
        </w:rPr>
        <w:t xml:space="preserve"> conditions at various bus stops. This would enable the MTA to assign values to bus routes and assets, prioritizing feasible interventions within budgetary constraints. Ideally, the MTA can identify win-win opportunities that deliver high-impact resiliency interventions benefitting both users and assets. We encourage future urban heat studies and the MTA to explore synergies between heat vulnerability and transportation, utilizing heat mapping to overlay with different modal types. Furthermore, community-driven approaches, guided by environmental justice principles, should be central in future endeavors to ensure interventions effectively serve marginalized communities. </w:t>
      </w:r>
    </w:p>
    <w:p w14:paraId="2DA32B1E"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B1F" w14:textId="77777777" w:rsidR="0083004B" w:rsidRDefault="00E14A9E">
      <w:pPr>
        <w:pStyle w:val="Heading1"/>
        <w:spacing w:before="0" w:line="240" w:lineRule="auto"/>
        <w:rPr>
          <w:rFonts w:ascii="Garamond" w:eastAsia="Garamond" w:hAnsi="Garamond" w:cs="Garamond"/>
          <w:b/>
          <w:color w:val="365F91"/>
          <w:sz w:val="28"/>
          <w:szCs w:val="28"/>
        </w:rPr>
      </w:pPr>
      <w:r>
        <w:rPr>
          <w:rFonts w:ascii="Garamond" w:eastAsia="Garamond" w:hAnsi="Garamond" w:cs="Garamond"/>
          <w:b/>
          <w:color w:val="365F91"/>
          <w:sz w:val="28"/>
          <w:szCs w:val="28"/>
        </w:rPr>
        <w:t>6. Acknowledgements</w:t>
      </w:r>
    </w:p>
    <w:p w14:paraId="2DA32B20" w14:textId="77777777" w:rsidR="0083004B" w:rsidRDefault="00E14A9E">
      <w:pPr>
        <w:spacing w:after="0"/>
        <w:rPr>
          <w:rFonts w:ascii="Garamond" w:eastAsia="Garamond" w:hAnsi="Garamond" w:cs="Garamond"/>
        </w:rPr>
      </w:pPr>
      <w:r>
        <w:rPr>
          <w:rFonts w:ascii="Garamond" w:eastAsia="Garamond" w:hAnsi="Garamond" w:cs="Garamond"/>
        </w:rPr>
        <w:t>We acknowledge those who contributed to the success of this project including, our partners from the MTA:</w:t>
      </w:r>
    </w:p>
    <w:p w14:paraId="2DA32B21" w14:textId="77777777" w:rsidR="0083004B" w:rsidRDefault="00E14A9E">
      <w:pPr>
        <w:numPr>
          <w:ilvl w:val="0"/>
          <w:numId w:val="1"/>
        </w:numPr>
        <w:spacing w:after="0" w:line="240" w:lineRule="auto"/>
        <w:rPr>
          <w:rFonts w:ascii="Garamond" w:eastAsia="Garamond" w:hAnsi="Garamond" w:cs="Garamond"/>
          <w:color w:val="000000"/>
        </w:rPr>
      </w:pPr>
      <w:r>
        <w:rPr>
          <w:rFonts w:ascii="Garamond" w:eastAsia="Garamond" w:hAnsi="Garamond" w:cs="Garamond"/>
          <w:color w:val="000000"/>
        </w:rPr>
        <w:t>Jennifer Martin, (MTA)</w:t>
      </w:r>
    </w:p>
    <w:p w14:paraId="2DA32B22" w14:textId="77777777" w:rsidR="0083004B" w:rsidRDefault="00E14A9E">
      <w:pPr>
        <w:numPr>
          <w:ilvl w:val="0"/>
          <w:numId w:val="1"/>
        </w:numPr>
        <w:spacing w:after="0" w:line="240" w:lineRule="auto"/>
        <w:rPr>
          <w:rFonts w:ascii="Garamond" w:eastAsia="Garamond" w:hAnsi="Garamond" w:cs="Garamond"/>
          <w:color w:val="000000"/>
        </w:rPr>
      </w:pPr>
      <w:proofErr w:type="spellStart"/>
      <w:r>
        <w:rPr>
          <w:rFonts w:ascii="Garamond" w:eastAsia="Garamond" w:hAnsi="Garamond" w:cs="Garamond"/>
          <w:color w:val="000000"/>
        </w:rPr>
        <w:t>Kokuei</w:t>
      </w:r>
      <w:proofErr w:type="spellEnd"/>
      <w:r>
        <w:rPr>
          <w:rFonts w:ascii="Garamond" w:eastAsia="Garamond" w:hAnsi="Garamond" w:cs="Garamond"/>
          <w:color w:val="000000"/>
        </w:rPr>
        <w:t xml:space="preserve"> Chen (MTA)</w:t>
      </w:r>
    </w:p>
    <w:p w14:paraId="2DA32B23" w14:textId="77777777" w:rsidR="0083004B" w:rsidRDefault="00E14A9E">
      <w:pPr>
        <w:numPr>
          <w:ilvl w:val="0"/>
          <w:numId w:val="1"/>
        </w:numPr>
        <w:spacing w:after="0" w:line="240" w:lineRule="auto"/>
        <w:rPr>
          <w:rFonts w:ascii="Garamond" w:eastAsia="Garamond" w:hAnsi="Garamond" w:cs="Garamond"/>
          <w:color w:val="000000"/>
        </w:rPr>
      </w:pPr>
      <w:r>
        <w:rPr>
          <w:rFonts w:ascii="Garamond" w:eastAsia="Garamond" w:hAnsi="Garamond" w:cs="Garamond"/>
          <w:color w:val="000000"/>
        </w:rPr>
        <w:t>Lauren Molesworth (MTA)</w:t>
      </w:r>
    </w:p>
    <w:p w14:paraId="2DA32B24" w14:textId="77777777" w:rsidR="0083004B" w:rsidRDefault="00E14A9E">
      <w:pPr>
        <w:numPr>
          <w:ilvl w:val="0"/>
          <w:numId w:val="1"/>
        </w:numPr>
        <w:spacing w:after="0" w:line="240" w:lineRule="auto"/>
        <w:rPr>
          <w:rFonts w:ascii="Garamond" w:eastAsia="Garamond" w:hAnsi="Garamond" w:cs="Garamond"/>
          <w:color w:val="000000"/>
        </w:rPr>
      </w:pPr>
      <w:r>
        <w:rPr>
          <w:rFonts w:ascii="Garamond" w:eastAsia="Garamond" w:hAnsi="Garamond" w:cs="Garamond"/>
          <w:color w:val="000000"/>
        </w:rPr>
        <w:t>Kelly Lyles (MTA)</w:t>
      </w:r>
    </w:p>
    <w:p w14:paraId="2DA32B25" w14:textId="77777777" w:rsidR="0083004B" w:rsidRDefault="00E14A9E">
      <w:pPr>
        <w:numPr>
          <w:ilvl w:val="0"/>
          <w:numId w:val="1"/>
        </w:numPr>
        <w:spacing w:after="0" w:line="240" w:lineRule="auto"/>
        <w:rPr>
          <w:rFonts w:ascii="Garamond" w:eastAsia="Garamond" w:hAnsi="Garamond" w:cs="Garamond"/>
          <w:color w:val="000000"/>
        </w:rPr>
      </w:pPr>
      <w:r>
        <w:rPr>
          <w:rFonts w:ascii="Garamond" w:eastAsia="Garamond" w:hAnsi="Garamond" w:cs="Garamond"/>
          <w:color w:val="000000"/>
        </w:rPr>
        <w:t>Paola Ariza (MTA)</w:t>
      </w:r>
    </w:p>
    <w:p w14:paraId="2DA32B26" w14:textId="77777777" w:rsidR="0083004B" w:rsidRDefault="00E14A9E">
      <w:pPr>
        <w:numPr>
          <w:ilvl w:val="0"/>
          <w:numId w:val="1"/>
        </w:numPr>
        <w:spacing w:after="0" w:line="240" w:lineRule="auto"/>
        <w:rPr>
          <w:rFonts w:ascii="Garamond" w:eastAsia="Garamond" w:hAnsi="Garamond" w:cs="Garamond"/>
          <w:color w:val="000000"/>
        </w:rPr>
      </w:pPr>
      <w:r>
        <w:rPr>
          <w:rFonts w:ascii="Garamond" w:eastAsia="Garamond" w:hAnsi="Garamond" w:cs="Garamond"/>
          <w:color w:val="000000"/>
        </w:rPr>
        <w:t xml:space="preserve">Leah </w:t>
      </w:r>
      <w:proofErr w:type="spellStart"/>
      <w:r>
        <w:rPr>
          <w:rFonts w:ascii="Garamond" w:eastAsia="Garamond" w:hAnsi="Garamond" w:cs="Garamond"/>
          <w:color w:val="000000"/>
        </w:rPr>
        <w:t>Visakowitz</w:t>
      </w:r>
      <w:proofErr w:type="spellEnd"/>
      <w:r>
        <w:rPr>
          <w:rFonts w:ascii="Garamond" w:eastAsia="Garamond" w:hAnsi="Garamond" w:cs="Garamond"/>
          <w:color w:val="000000"/>
        </w:rPr>
        <w:t xml:space="preserve"> (MTA)</w:t>
      </w:r>
    </w:p>
    <w:p w14:paraId="2DA32B27" w14:textId="77777777" w:rsidR="0083004B" w:rsidRDefault="00E14A9E">
      <w:pPr>
        <w:numPr>
          <w:ilvl w:val="0"/>
          <w:numId w:val="1"/>
        </w:numPr>
        <w:spacing w:after="0" w:line="240" w:lineRule="auto"/>
        <w:rPr>
          <w:rFonts w:ascii="Garamond" w:eastAsia="Garamond" w:hAnsi="Garamond" w:cs="Garamond"/>
          <w:color w:val="000000"/>
        </w:rPr>
      </w:pPr>
      <w:r>
        <w:rPr>
          <w:rFonts w:ascii="Garamond" w:eastAsia="Garamond" w:hAnsi="Garamond" w:cs="Garamond"/>
          <w:color w:val="000000"/>
        </w:rPr>
        <w:t>Kyle Kim (MTA)</w:t>
      </w:r>
    </w:p>
    <w:p w14:paraId="2DA32B28" w14:textId="77777777" w:rsidR="0083004B" w:rsidRDefault="00E14A9E">
      <w:pPr>
        <w:numPr>
          <w:ilvl w:val="0"/>
          <w:numId w:val="1"/>
        </w:numPr>
        <w:spacing w:after="0" w:line="240" w:lineRule="auto"/>
        <w:rPr>
          <w:rFonts w:ascii="Garamond" w:eastAsia="Garamond" w:hAnsi="Garamond" w:cs="Garamond"/>
          <w:color w:val="000000"/>
        </w:rPr>
      </w:pPr>
      <w:r>
        <w:rPr>
          <w:rFonts w:ascii="Garamond" w:eastAsia="Garamond" w:hAnsi="Garamond" w:cs="Garamond"/>
          <w:color w:val="000000"/>
        </w:rPr>
        <w:t>LaToya Eff (MTA)</w:t>
      </w:r>
    </w:p>
    <w:p w14:paraId="2DA32B29" w14:textId="77777777" w:rsidR="0083004B" w:rsidRDefault="0083004B">
      <w:pPr>
        <w:spacing w:after="0" w:line="240" w:lineRule="auto"/>
        <w:ind w:left="720"/>
        <w:rPr>
          <w:rFonts w:ascii="Garamond" w:eastAsia="Garamond" w:hAnsi="Garamond" w:cs="Garamond"/>
          <w:color w:val="000000"/>
        </w:rPr>
      </w:pPr>
    </w:p>
    <w:p w14:paraId="2DA32B2A" w14:textId="77777777" w:rsidR="0083004B" w:rsidRDefault="00E14A9E">
      <w:pPr>
        <w:spacing w:after="0" w:line="240" w:lineRule="auto"/>
        <w:rPr>
          <w:rFonts w:ascii="Garamond" w:eastAsia="Garamond" w:hAnsi="Garamond" w:cs="Garamond"/>
          <w:color w:val="000000"/>
        </w:rPr>
      </w:pPr>
      <w:proofErr w:type="spellStart"/>
      <w:r>
        <w:rPr>
          <w:rFonts w:ascii="Garamond" w:eastAsia="Garamond" w:hAnsi="Garamond" w:cs="Garamond"/>
          <w:color w:val="000000"/>
        </w:rPr>
        <w:t>the</w:t>
      </w:r>
      <w:proofErr w:type="spellEnd"/>
      <w:r>
        <w:rPr>
          <w:rFonts w:ascii="Garamond" w:eastAsia="Garamond" w:hAnsi="Garamond" w:cs="Garamond"/>
          <w:color w:val="000000"/>
        </w:rPr>
        <w:t xml:space="preserve"> DEVELOP Advisors:</w:t>
      </w:r>
    </w:p>
    <w:p w14:paraId="2DA32B2B" w14:textId="77777777" w:rsidR="0083004B" w:rsidRDefault="00E14A9E">
      <w:pPr>
        <w:numPr>
          <w:ilvl w:val="0"/>
          <w:numId w:val="1"/>
        </w:numPr>
        <w:spacing w:after="0" w:line="240" w:lineRule="auto"/>
        <w:rPr>
          <w:rFonts w:ascii="Garamond" w:eastAsia="Garamond" w:hAnsi="Garamond" w:cs="Garamond"/>
          <w:color w:val="000000"/>
        </w:rPr>
      </w:pPr>
      <w:r>
        <w:rPr>
          <w:rFonts w:ascii="Garamond" w:eastAsia="Garamond" w:hAnsi="Garamond" w:cs="Garamond"/>
          <w:color w:val="000000"/>
        </w:rPr>
        <w:t>Stephanie Willsey, Center Lead at GSFC</w:t>
      </w:r>
    </w:p>
    <w:p w14:paraId="2DA32B2C" w14:textId="77777777" w:rsidR="0083004B" w:rsidRDefault="00E14A9E">
      <w:pPr>
        <w:numPr>
          <w:ilvl w:val="0"/>
          <w:numId w:val="1"/>
        </w:numPr>
        <w:spacing w:after="0" w:line="240" w:lineRule="auto"/>
        <w:rPr>
          <w:rFonts w:ascii="Garamond" w:eastAsia="Garamond" w:hAnsi="Garamond" w:cs="Garamond"/>
          <w:color w:val="000000"/>
        </w:rPr>
      </w:pPr>
      <w:r>
        <w:rPr>
          <w:rFonts w:ascii="Garamond" w:eastAsia="Garamond" w:hAnsi="Garamond" w:cs="Garamond"/>
          <w:color w:val="000000"/>
        </w:rPr>
        <w:t>Sean McCartney, Science Advisor at GSFC</w:t>
      </w:r>
    </w:p>
    <w:p w14:paraId="2DA32B2D" w14:textId="77777777" w:rsidR="0083004B" w:rsidRDefault="00E14A9E">
      <w:pPr>
        <w:numPr>
          <w:ilvl w:val="0"/>
          <w:numId w:val="1"/>
        </w:numPr>
        <w:spacing w:after="0" w:line="240" w:lineRule="auto"/>
        <w:rPr>
          <w:rFonts w:ascii="Garamond" w:eastAsia="Garamond" w:hAnsi="Garamond" w:cs="Garamond"/>
          <w:color w:val="000000"/>
        </w:rPr>
      </w:pPr>
      <w:r>
        <w:rPr>
          <w:rFonts w:ascii="Garamond" w:eastAsia="Garamond" w:hAnsi="Garamond" w:cs="Garamond"/>
          <w:color w:val="000000"/>
        </w:rPr>
        <w:t>Dr. Kent Ross, DEVELOP Program Manager</w:t>
      </w:r>
    </w:p>
    <w:p w14:paraId="2DA32B2E" w14:textId="77777777" w:rsidR="0083004B" w:rsidRDefault="00E14A9E">
      <w:pPr>
        <w:numPr>
          <w:ilvl w:val="0"/>
          <w:numId w:val="1"/>
        </w:numPr>
        <w:spacing w:after="0" w:line="240" w:lineRule="auto"/>
        <w:rPr>
          <w:rFonts w:ascii="Garamond" w:eastAsia="Garamond" w:hAnsi="Garamond" w:cs="Garamond"/>
          <w:color w:val="000000"/>
        </w:rPr>
      </w:pPr>
      <w:r>
        <w:rPr>
          <w:rFonts w:ascii="Garamond" w:eastAsia="Garamond" w:hAnsi="Garamond" w:cs="Garamond"/>
          <w:color w:val="000000"/>
        </w:rPr>
        <w:t>Laramie Plott, DEVELOP Senior Fellow</w:t>
      </w:r>
    </w:p>
    <w:p w14:paraId="2DA32B2F" w14:textId="77777777" w:rsidR="0083004B" w:rsidRDefault="0083004B">
      <w:pPr>
        <w:spacing w:after="0" w:line="240" w:lineRule="auto"/>
        <w:rPr>
          <w:rFonts w:ascii="Garamond" w:eastAsia="Garamond" w:hAnsi="Garamond" w:cs="Garamond"/>
          <w:color w:val="000000"/>
        </w:rPr>
      </w:pPr>
    </w:p>
    <w:p w14:paraId="2DA32B30"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 and Outside Advisors:</w:t>
      </w:r>
    </w:p>
    <w:p w14:paraId="2DA32B31" w14:textId="77777777" w:rsidR="0083004B" w:rsidRDefault="00E14A9E">
      <w:pPr>
        <w:numPr>
          <w:ilvl w:val="0"/>
          <w:numId w:val="1"/>
        </w:numPr>
        <w:spacing w:after="0" w:line="240" w:lineRule="auto"/>
        <w:rPr>
          <w:rFonts w:ascii="Garamond" w:eastAsia="Garamond" w:hAnsi="Garamond" w:cs="Garamond"/>
          <w:color w:val="000000"/>
        </w:rPr>
      </w:pPr>
      <w:r>
        <w:rPr>
          <w:rFonts w:ascii="Garamond" w:eastAsia="Garamond" w:hAnsi="Garamond" w:cs="Garamond"/>
          <w:color w:val="000000"/>
        </w:rPr>
        <w:t>Blake Steiner, Former DEVELOP Participant</w:t>
      </w:r>
    </w:p>
    <w:p w14:paraId="2DA32B32" w14:textId="77777777" w:rsidR="0083004B" w:rsidRDefault="00E14A9E">
      <w:pPr>
        <w:numPr>
          <w:ilvl w:val="0"/>
          <w:numId w:val="1"/>
        </w:numPr>
        <w:spacing w:after="0" w:line="240" w:lineRule="auto"/>
        <w:rPr>
          <w:rFonts w:ascii="Garamond" w:eastAsia="Garamond" w:hAnsi="Garamond" w:cs="Garamond"/>
          <w:color w:val="000000"/>
        </w:rPr>
      </w:pPr>
      <w:r>
        <w:rPr>
          <w:rFonts w:ascii="Garamond" w:eastAsia="Garamond" w:hAnsi="Garamond" w:cs="Garamond"/>
          <w:color w:val="000000"/>
        </w:rPr>
        <w:t xml:space="preserve">Medhi </w:t>
      </w:r>
      <w:proofErr w:type="spellStart"/>
      <w:r>
        <w:rPr>
          <w:rFonts w:ascii="Garamond" w:eastAsia="Garamond" w:hAnsi="Garamond" w:cs="Garamond"/>
          <w:color w:val="000000"/>
        </w:rPr>
        <w:t>Heris</w:t>
      </w:r>
      <w:proofErr w:type="spellEnd"/>
      <w:r>
        <w:rPr>
          <w:rFonts w:ascii="Garamond" w:eastAsia="Garamond" w:hAnsi="Garamond" w:cs="Garamond"/>
          <w:color w:val="000000"/>
        </w:rPr>
        <w:t>, Professor at Hunter College</w:t>
      </w:r>
    </w:p>
    <w:p w14:paraId="2DA32B33" w14:textId="77777777" w:rsidR="0083004B" w:rsidRDefault="0083004B">
      <w:pPr>
        <w:spacing w:after="0" w:line="240" w:lineRule="auto"/>
        <w:rPr>
          <w:rFonts w:ascii="Garamond" w:eastAsia="Garamond" w:hAnsi="Garamond" w:cs="Garamond"/>
          <w:color w:val="000000"/>
        </w:rPr>
      </w:pPr>
    </w:p>
    <w:p w14:paraId="2DA32B34"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Any opinions, findings, and conclusions or recommendations expressed in this material are those of the authors and do not necessarily reflect the views of the National Aeronautics and Space Administration. </w:t>
      </w:r>
    </w:p>
    <w:p w14:paraId="2DA32B35" w14:textId="77777777" w:rsidR="0083004B" w:rsidRDefault="0083004B">
      <w:pPr>
        <w:spacing w:after="0" w:line="240" w:lineRule="auto"/>
        <w:rPr>
          <w:rFonts w:ascii="Garamond" w:eastAsia="Garamond" w:hAnsi="Garamond" w:cs="Garamond"/>
          <w:color w:val="000000"/>
        </w:rPr>
      </w:pPr>
    </w:p>
    <w:p w14:paraId="2DA32B36"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This material is based upon work supported by NASA through contract </w:t>
      </w:r>
      <w:r>
        <w:rPr>
          <w:rFonts w:ascii="Garamond" w:eastAsia="Garamond" w:hAnsi="Garamond" w:cs="Garamond"/>
          <w:color w:val="404040"/>
        </w:rPr>
        <w:t>80LARC23FA024</w:t>
      </w:r>
      <w:r>
        <w:rPr>
          <w:rFonts w:ascii="Garamond" w:eastAsia="Garamond" w:hAnsi="Garamond" w:cs="Garamond"/>
          <w:color w:val="000000"/>
        </w:rPr>
        <w:t>.</w:t>
      </w:r>
    </w:p>
    <w:p w14:paraId="2DA32B37" w14:textId="77777777" w:rsidR="0083004B" w:rsidRDefault="0083004B">
      <w:pPr>
        <w:spacing w:after="0" w:line="240" w:lineRule="auto"/>
        <w:rPr>
          <w:rFonts w:ascii="Garamond" w:eastAsia="Garamond" w:hAnsi="Garamond" w:cs="Garamond"/>
          <w:b/>
          <w:color w:val="365F91"/>
        </w:rPr>
      </w:pPr>
    </w:p>
    <w:p w14:paraId="2DA32B38" w14:textId="77777777" w:rsidR="0083004B" w:rsidRDefault="0083004B">
      <w:pPr>
        <w:spacing w:after="0" w:line="240" w:lineRule="auto"/>
        <w:rPr>
          <w:rFonts w:ascii="Garamond" w:eastAsia="Garamond" w:hAnsi="Garamond" w:cs="Garamond"/>
          <w:b/>
          <w:color w:val="365F91"/>
        </w:rPr>
      </w:pPr>
    </w:p>
    <w:p w14:paraId="2DA32B39" w14:textId="77777777" w:rsidR="0083004B" w:rsidRDefault="0083004B">
      <w:pPr>
        <w:spacing w:after="0" w:line="240" w:lineRule="auto"/>
        <w:rPr>
          <w:rFonts w:ascii="Garamond" w:eastAsia="Garamond" w:hAnsi="Garamond" w:cs="Garamond"/>
          <w:b/>
          <w:color w:val="365F91"/>
        </w:rPr>
      </w:pPr>
    </w:p>
    <w:p w14:paraId="2DA32B3A" w14:textId="77777777" w:rsidR="0083004B" w:rsidRDefault="0083004B">
      <w:pPr>
        <w:spacing w:after="0" w:line="240" w:lineRule="auto"/>
        <w:rPr>
          <w:rFonts w:ascii="Garamond" w:eastAsia="Garamond" w:hAnsi="Garamond" w:cs="Garamond"/>
          <w:b/>
          <w:color w:val="365F91"/>
        </w:rPr>
      </w:pPr>
    </w:p>
    <w:p w14:paraId="2DA32B3B" w14:textId="77777777" w:rsidR="0083004B" w:rsidRDefault="0083004B">
      <w:pPr>
        <w:spacing w:after="0" w:line="240" w:lineRule="auto"/>
        <w:rPr>
          <w:rFonts w:ascii="Garamond" w:eastAsia="Garamond" w:hAnsi="Garamond" w:cs="Garamond"/>
          <w:b/>
          <w:color w:val="365F91"/>
        </w:rPr>
      </w:pPr>
    </w:p>
    <w:p w14:paraId="2DA32B3C" w14:textId="77777777" w:rsidR="0083004B" w:rsidRDefault="0083004B">
      <w:pPr>
        <w:spacing w:after="0" w:line="240" w:lineRule="auto"/>
        <w:rPr>
          <w:rFonts w:ascii="Garamond" w:eastAsia="Garamond" w:hAnsi="Garamond" w:cs="Garamond"/>
          <w:b/>
          <w:color w:val="365F91"/>
        </w:rPr>
      </w:pPr>
    </w:p>
    <w:p w14:paraId="2DA32B3D" w14:textId="77777777" w:rsidR="0083004B" w:rsidRDefault="0083004B">
      <w:pPr>
        <w:spacing w:after="0" w:line="240" w:lineRule="auto"/>
        <w:rPr>
          <w:rFonts w:ascii="Garamond" w:eastAsia="Garamond" w:hAnsi="Garamond" w:cs="Garamond"/>
          <w:b/>
          <w:color w:val="365F91"/>
        </w:rPr>
      </w:pPr>
    </w:p>
    <w:p w14:paraId="2DA32B3E" w14:textId="77777777" w:rsidR="0083004B" w:rsidRDefault="00E14A9E">
      <w:pPr>
        <w:pStyle w:val="Heading1"/>
        <w:spacing w:before="0" w:line="240" w:lineRule="auto"/>
        <w:rPr>
          <w:rFonts w:ascii="Garamond" w:eastAsia="Garamond" w:hAnsi="Garamond" w:cs="Garamond"/>
          <w:b/>
          <w:color w:val="365F91"/>
          <w:sz w:val="28"/>
          <w:szCs w:val="28"/>
        </w:rPr>
      </w:pPr>
      <w:r>
        <w:rPr>
          <w:rFonts w:ascii="Garamond" w:eastAsia="Garamond" w:hAnsi="Garamond" w:cs="Garamond"/>
          <w:b/>
          <w:color w:val="365F91"/>
          <w:sz w:val="28"/>
          <w:szCs w:val="28"/>
        </w:rPr>
        <w:t>7. Glossary</w:t>
      </w:r>
    </w:p>
    <w:p w14:paraId="2DA32B3F"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 xml:space="preserve">Albedo </w:t>
      </w:r>
      <w:r>
        <w:rPr>
          <w:rFonts w:ascii="Garamond" w:eastAsia="Garamond" w:hAnsi="Garamond" w:cs="Garamond"/>
          <w:color w:val="000000"/>
        </w:rPr>
        <w:t>– the fraction of light that is reflected by a surface</w:t>
      </w:r>
    </w:p>
    <w:p w14:paraId="2DA32B40"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 xml:space="preserve">Cooling Capacity </w:t>
      </w:r>
      <w:r>
        <w:rPr>
          <w:rFonts w:ascii="Garamond" w:eastAsia="Garamond" w:hAnsi="Garamond" w:cs="Garamond"/>
          <w:color w:val="000000"/>
        </w:rPr>
        <w:t>–</w:t>
      </w:r>
      <w:r>
        <w:rPr>
          <w:rFonts w:ascii="Garamond" w:eastAsia="Garamond" w:hAnsi="Garamond" w:cs="Garamond"/>
          <w:b/>
          <w:color w:val="000000"/>
        </w:rPr>
        <w:t xml:space="preserve"> </w:t>
      </w:r>
      <w:r>
        <w:rPr>
          <w:rFonts w:ascii="Garamond" w:eastAsia="Garamond" w:hAnsi="Garamond" w:cs="Garamond"/>
          <w:color w:val="000000"/>
        </w:rPr>
        <w:t>a measure of a system’s ability to remove hea</w:t>
      </w:r>
      <w:r>
        <w:rPr>
          <w:rFonts w:ascii="Garamond" w:eastAsia="Garamond" w:hAnsi="Garamond" w:cs="Garamond"/>
          <w:b/>
          <w:color w:val="000000"/>
        </w:rPr>
        <w:t>t</w:t>
      </w:r>
    </w:p>
    <w:p w14:paraId="2DA32B41"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 xml:space="preserve">Canopy Digital Surface Model (CDSM) - </w:t>
      </w:r>
      <w:r>
        <w:rPr>
          <w:rFonts w:ascii="Garamond" w:eastAsia="Garamond" w:hAnsi="Garamond" w:cs="Garamond"/>
          <w:color w:val="000000"/>
          <w:highlight w:val="white"/>
        </w:rPr>
        <w:t>Represents the height of trees. Not an elevation value, rather the height or distance between the ground and the top of the trees (or buildings or whatever object that the lidar system detected and recorded)</w:t>
      </w:r>
      <w:r>
        <w:rPr>
          <w:rFonts w:ascii="Garamond" w:eastAsia="Garamond" w:hAnsi="Garamond" w:cs="Garamond"/>
          <w:b/>
          <w:color w:val="000000"/>
        </w:rPr>
        <w:br/>
        <w:t>De jure segregation</w:t>
      </w:r>
      <w:r>
        <w:rPr>
          <w:rFonts w:ascii="Garamond" w:eastAsia="Garamond" w:hAnsi="Garamond" w:cs="Garamond"/>
          <w:color w:val="000000"/>
        </w:rPr>
        <w:t>- Refers to regulations, policies and laws enacted by government entities that promote racial segregation</w:t>
      </w:r>
    </w:p>
    <w:p w14:paraId="2DA32B42"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De facto segregation-</w:t>
      </w:r>
      <w:r>
        <w:rPr>
          <w:rFonts w:ascii="Garamond" w:eastAsia="Garamond" w:hAnsi="Garamond" w:cs="Garamond"/>
          <w:color w:val="000000"/>
        </w:rPr>
        <w:t xml:space="preserve"> Refers to segregation of racial groups that exists despite being unenforceable by law</w:t>
      </w:r>
    </w:p>
    <w:p w14:paraId="2DA32B43"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 xml:space="preserve">Digital Elevation Model (DEM) – </w:t>
      </w:r>
      <w:r>
        <w:rPr>
          <w:rFonts w:ascii="Garamond" w:eastAsia="Garamond" w:hAnsi="Garamond" w:cs="Garamond"/>
          <w:color w:val="000000"/>
        </w:rPr>
        <w:t>a 3D representation of the bare ground (bare earth) topographic surface of the Earth excluding trees, buildings, and any other surface objects</w:t>
      </w:r>
    </w:p>
    <w:p w14:paraId="2DA32B44"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 xml:space="preserve">Digital Surface Model (DSM) – </w:t>
      </w:r>
      <w:r>
        <w:rPr>
          <w:rFonts w:ascii="Garamond" w:eastAsia="Garamond" w:hAnsi="Garamond" w:cs="Garamond"/>
          <w:color w:val="000000"/>
        </w:rPr>
        <w:t xml:space="preserve">a 3D an elevation model that captures both the environment's natural and artificial features </w:t>
      </w:r>
    </w:p>
    <w:p w14:paraId="2DA32B45"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Earth Observations (EO)</w:t>
      </w:r>
      <w:r>
        <w:rPr>
          <w:rFonts w:ascii="Garamond" w:eastAsia="Garamond" w:hAnsi="Garamond" w:cs="Garamond"/>
          <w:color w:val="000000"/>
        </w:rPr>
        <w:t xml:space="preserve"> – Satellites and sensors that collect information about the Earth’s physical, chemical, and biological systems over space and time</w:t>
      </w:r>
    </w:p>
    <w:p w14:paraId="2DA32B46"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 xml:space="preserve">Evapotranspiration (ET) </w:t>
      </w:r>
      <w:r>
        <w:rPr>
          <w:rFonts w:ascii="Garamond" w:eastAsia="Garamond" w:hAnsi="Garamond" w:cs="Garamond"/>
          <w:color w:val="000000"/>
        </w:rPr>
        <w:t>– the sum of evaporation of water from land and other surfaces and through transpiration by plants</w:t>
      </w:r>
    </w:p>
    <w:p w14:paraId="2DA32B47"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Google Earth Engine (GEE)</w:t>
      </w:r>
      <w:r>
        <w:rPr>
          <w:rFonts w:ascii="Garamond" w:eastAsia="Garamond" w:hAnsi="Garamond" w:cs="Garamond"/>
          <w:color w:val="000000"/>
        </w:rPr>
        <w:t xml:space="preserve"> – Open-source application programming interface that allows users to access satellite imagery and other geospatial data through the GEE catalogue</w:t>
      </w:r>
    </w:p>
    <w:p w14:paraId="2DA32B48"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Hotspots</w:t>
      </w:r>
      <w:r>
        <w:rPr>
          <w:rFonts w:ascii="Garamond" w:eastAsia="Garamond" w:hAnsi="Garamond" w:cs="Garamond"/>
          <w:color w:val="000000"/>
        </w:rPr>
        <w:t xml:space="preserve"> – areas of high land surface temperature</w:t>
      </w:r>
    </w:p>
    <w:p w14:paraId="2DA32B49"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Landsat 8</w:t>
      </w:r>
      <w:r>
        <w:rPr>
          <w:rFonts w:ascii="Garamond" w:eastAsia="Garamond" w:hAnsi="Garamond" w:cs="Garamond"/>
          <w:color w:val="000000"/>
        </w:rPr>
        <w:t xml:space="preserve"> – an American Earth-imaging satellite in collaboration between NASA and the United States Geological Survey, launched on February 11, 2013</w:t>
      </w:r>
    </w:p>
    <w:p w14:paraId="2DA32B4A"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Land Surface Temperature (LST</w:t>
      </w:r>
      <w:r>
        <w:rPr>
          <w:rFonts w:ascii="Garamond" w:eastAsia="Garamond" w:hAnsi="Garamond" w:cs="Garamond"/>
          <w:color w:val="000000"/>
        </w:rPr>
        <w:t>) – the temperature of the surface of the Earth</w:t>
      </w:r>
    </w:p>
    <w:p w14:paraId="2DA32B4B"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MODIS</w:t>
      </w:r>
      <w:r>
        <w:rPr>
          <w:rFonts w:ascii="Garamond" w:eastAsia="Garamond" w:hAnsi="Garamond" w:cs="Garamond"/>
          <w:color w:val="000000"/>
        </w:rPr>
        <w:t xml:space="preserve"> – Moderate Resolution Imaging Spectroradiometer</w:t>
      </w:r>
      <w:r>
        <w:rPr>
          <w:rFonts w:ascii="Garamond" w:eastAsia="Garamond" w:hAnsi="Garamond" w:cs="Garamond"/>
          <w:b/>
          <w:color w:val="000000"/>
        </w:rPr>
        <w:t xml:space="preserve"> </w:t>
      </w:r>
    </w:p>
    <w:p w14:paraId="2DA32B4C"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Normalized Difference Building Index (NDBI)</w:t>
      </w:r>
      <w:r>
        <w:rPr>
          <w:rFonts w:ascii="Garamond" w:eastAsia="Garamond" w:hAnsi="Garamond" w:cs="Garamond"/>
          <w:color w:val="000000"/>
        </w:rPr>
        <w:t xml:space="preserve"> – Index that measures the amount of building density in a given area</w:t>
      </w:r>
    </w:p>
    <w:p w14:paraId="2DA32B4D"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Normalized Digital Surface Model (</w:t>
      </w:r>
      <w:proofErr w:type="spellStart"/>
      <w:r>
        <w:rPr>
          <w:rFonts w:ascii="Garamond" w:eastAsia="Garamond" w:hAnsi="Garamond" w:cs="Garamond"/>
          <w:b/>
          <w:color w:val="000000"/>
        </w:rPr>
        <w:t>nDSM</w:t>
      </w:r>
      <w:proofErr w:type="spellEnd"/>
      <w:r>
        <w:rPr>
          <w:rFonts w:ascii="Garamond" w:eastAsia="Garamond" w:hAnsi="Garamond" w:cs="Garamond"/>
          <w:b/>
          <w:color w:val="000000"/>
        </w:rPr>
        <w:t xml:space="preserve">) - </w:t>
      </w:r>
      <w:r>
        <w:rPr>
          <w:rFonts w:ascii="Garamond" w:eastAsia="Garamond" w:hAnsi="Garamond" w:cs="Garamond"/>
          <w:color w:val="000000"/>
        </w:rPr>
        <w:t>Represents the height of features above ground, rather than the elevation of features relative to mean sea level, or an ellipsoid. These relative height values are essential for estimating vegetation height</w:t>
      </w:r>
    </w:p>
    <w:p w14:paraId="2DA32B4E"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Normalized Difference Vegetation Index (NDVI)</w:t>
      </w:r>
      <w:r>
        <w:rPr>
          <w:rFonts w:ascii="Garamond" w:eastAsia="Garamond" w:hAnsi="Garamond" w:cs="Garamond"/>
          <w:color w:val="000000"/>
        </w:rPr>
        <w:t xml:space="preserve"> – Index that measures the amount of healthy vegetation in a given area</w:t>
      </w:r>
    </w:p>
    <w:p w14:paraId="2DA32B4F"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Normalized Difference Water Index (NDWI)</w:t>
      </w:r>
      <w:r>
        <w:rPr>
          <w:rFonts w:ascii="Garamond" w:eastAsia="Garamond" w:hAnsi="Garamond" w:cs="Garamond"/>
          <w:color w:val="000000"/>
        </w:rPr>
        <w:t xml:space="preserve"> –</w:t>
      </w:r>
      <w:r>
        <w:rPr>
          <w:rFonts w:ascii="Garamond" w:eastAsia="Garamond" w:hAnsi="Garamond" w:cs="Garamond"/>
          <w:b/>
          <w:color w:val="000000"/>
        </w:rPr>
        <w:t xml:space="preserve"> </w:t>
      </w:r>
      <w:r>
        <w:rPr>
          <w:rFonts w:ascii="Garamond" w:eastAsia="Garamond" w:hAnsi="Garamond" w:cs="Garamond"/>
          <w:color w:val="000000"/>
        </w:rPr>
        <w:t>Index that measures the amount of water content present in a given area and used for identifying water bodies</w:t>
      </w:r>
    </w:p>
    <w:p w14:paraId="2DA32B50"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Operational Land Imager (OLI)</w:t>
      </w:r>
      <w:r>
        <w:rPr>
          <w:rFonts w:ascii="Garamond" w:eastAsia="Garamond" w:hAnsi="Garamond" w:cs="Garamond"/>
          <w:color w:val="000000"/>
        </w:rPr>
        <w:t xml:space="preserve"> – sensor aboard the Landsat 8 satellite that measures visible, near-infrared, and shortwave infrared wavelengths</w:t>
      </w:r>
    </w:p>
    <w:p w14:paraId="2DA32B51"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R</w:t>
      </w:r>
      <w:r>
        <w:rPr>
          <w:rFonts w:ascii="Garamond" w:eastAsia="Garamond" w:hAnsi="Garamond" w:cs="Garamond"/>
          <w:color w:val="000000"/>
        </w:rPr>
        <w:t xml:space="preserve"> – Programming language utilized for statistical computing and data visualization </w:t>
      </w:r>
    </w:p>
    <w:p w14:paraId="2DA32B52"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 xml:space="preserve">QGIS </w:t>
      </w:r>
      <w:r>
        <w:rPr>
          <w:rFonts w:ascii="Garamond" w:eastAsia="Garamond" w:hAnsi="Garamond" w:cs="Garamond"/>
          <w:color w:val="000000"/>
        </w:rPr>
        <w:t xml:space="preserve">– Open-source geographic information system </w:t>
      </w:r>
    </w:p>
    <w:p w14:paraId="2DA32B53" w14:textId="77777777" w:rsidR="0083004B" w:rsidRDefault="00E14A9E">
      <w:pPr>
        <w:spacing w:after="0" w:line="240" w:lineRule="auto"/>
        <w:rPr>
          <w:rFonts w:ascii="Garamond" w:eastAsia="Garamond" w:hAnsi="Garamond" w:cs="Garamond"/>
          <w:color w:val="000000"/>
        </w:rPr>
      </w:pPr>
      <w:proofErr w:type="spellStart"/>
      <w:r>
        <w:rPr>
          <w:rFonts w:ascii="Garamond" w:eastAsia="Garamond" w:hAnsi="Garamond" w:cs="Garamond"/>
          <w:b/>
        </w:rPr>
        <w:t>SOlar</w:t>
      </w:r>
      <w:proofErr w:type="spellEnd"/>
      <w:r>
        <w:rPr>
          <w:rFonts w:ascii="Garamond" w:eastAsia="Garamond" w:hAnsi="Garamond" w:cs="Garamond"/>
          <w:b/>
        </w:rPr>
        <w:t xml:space="preserve"> and </w:t>
      </w:r>
      <w:proofErr w:type="spellStart"/>
      <w:r>
        <w:rPr>
          <w:rFonts w:ascii="Garamond" w:eastAsia="Garamond" w:hAnsi="Garamond" w:cs="Garamond"/>
          <w:b/>
        </w:rPr>
        <w:t>LongWave</w:t>
      </w:r>
      <w:proofErr w:type="spellEnd"/>
      <w:r>
        <w:rPr>
          <w:rFonts w:ascii="Garamond" w:eastAsia="Garamond" w:hAnsi="Garamond" w:cs="Garamond"/>
          <w:b/>
        </w:rPr>
        <w:t xml:space="preserve"> Environmental Irradiance Geometry model (SOLWEIG)</w:t>
      </w:r>
      <w:r>
        <w:rPr>
          <w:rFonts w:ascii="Garamond" w:eastAsia="Garamond" w:hAnsi="Garamond" w:cs="Garamond"/>
          <w:b/>
          <w:color w:val="000000"/>
        </w:rPr>
        <w:t xml:space="preserve"> </w:t>
      </w:r>
      <w:r>
        <w:rPr>
          <w:rFonts w:ascii="Garamond" w:eastAsia="Garamond" w:hAnsi="Garamond" w:cs="Garamond"/>
          <w:color w:val="000000"/>
        </w:rPr>
        <w:t xml:space="preserve">– 3-D Model used to calculate outdoor thermal comfort </w:t>
      </w:r>
    </w:p>
    <w:p w14:paraId="2DA32B54" w14:textId="77777777" w:rsidR="0083004B" w:rsidRDefault="00E14A9E">
      <w:pPr>
        <w:spacing w:after="0" w:line="240" w:lineRule="auto"/>
        <w:rPr>
          <w:rFonts w:ascii="Garamond" w:eastAsia="Garamond" w:hAnsi="Garamond" w:cs="Garamond"/>
          <w:b/>
          <w:color w:val="000000"/>
        </w:rPr>
      </w:pPr>
      <w:proofErr w:type="spellStart"/>
      <w:r>
        <w:rPr>
          <w:rFonts w:ascii="Garamond" w:eastAsia="Garamond" w:hAnsi="Garamond" w:cs="Garamond"/>
          <w:color w:val="000000"/>
        </w:rPr>
        <w:t>Tidycensus</w:t>
      </w:r>
      <w:proofErr w:type="spellEnd"/>
      <w:r>
        <w:rPr>
          <w:rFonts w:ascii="Garamond" w:eastAsia="Garamond" w:hAnsi="Garamond" w:cs="Garamond"/>
          <w:color w:val="000000"/>
        </w:rPr>
        <w:t xml:space="preserve"> – Package within R programming language to extract U.S. Census data</w:t>
      </w:r>
    </w:p>
    <w:p w14:paraId="2DA32B55" w14:textId="77777777" w:rsidR="0083004B" w:rsidRDefault="00E14A9E">
      <w:pPr>
        <w:spacing w:after="0" w:line="240" w:lineRule="auto"/>
        <w:rPr>
          <w:rFonts w:ascii="Garamond" w:eastAsia="Garamond" w:hAnsi="Garamond" w:cs="Garamond"/>
          <w:color w:val="000000"/>
        </w:rPr>
      </w:pPr>
      <w:r>
        <w:rPr>
          <w:rFonts w:ascii="Garamond" w:eastAsia="Garamond" w:hAnsi="Garamond" w:cs="Garamond"/>
          <w:b/>
          <w:color w:val="000000"/>
        </w:rPr>
        <w:t xml:space="preserve">Thermal Infrared Sensor (TIRS) </w:t>
      </w:r>
      <w:r>
        <w:rPr>
          <w:rFonts w:ascii="Garamond" w:eastAsia="Garamond" w:hAnsi="Garamond" w:cs="Garamond"/>
          <w:color w:val="000000"/>
        </w:rPr>
        <w:t>– sensor aboard the Landsat 8 satellite that measures both Earth’s surface temperature and atmosphere temperature</w:t>
      </w:r>
    </w:p>
    <w:p w14:paraId="2DA32B56" w14:textId="77777777" w:rsidR="0083004B" w:rsidRDefault="00E14A9E">
      <w:pPr>
        <w:spacing w:after="0" w:line="240" w:lineRule="auto"/>
        <w:rPr>
          <w:rFonts w:ascii="Garamond" w:eastAsia="Garamond" w:hAnsi="Garamond" w:cs="Garamond"/>
          <w:color w:val="000000"/>
          <w:shd w:val="clear" w:color="auto" w:fill="FCFCFC"/>
        </w:rPr>
      </w:pPr>
      <w:r>
        <w:rPr>
          <w:rFonts w:ascii="Garamond" w:eastAsia="Garamond" w:hAnsi="Garamond" w:cs="Garamond"/>
          <w:b/>
          <w:color w:val="000000"/>
        </w:rPr>
        <w:t>Urban Multiscale Environmental Predictor (UMEP) -</w:t>
      </w:r>
      <w:r>
        <w:rPr>
          <w:rFonts w:ascii="Garamond" w:eastAsia="Garamond" w:hAnsi="Garamond" w:cs="Garamond"/>
          <w:color w:val="000000"/>
          <w:shd w:val="clear" w:color="auto" w:fill="FCFCFC"/>
        </w:rPr>
        <w:t xml:space="preserve"> a climate service tool, presented as a plugin for QGIS. This tool can be used for a variety of applications related to outdoor thermal comfort, urban energy consumption, climate change mitigation etc. and consists of a coupled modelling system which combines “state of the art” 1D and 2D models related to the processes essential for scale independent urban climate estimations.</w:t>
      </w:r>
    </w:p>
    <w:p w14:paraId="2DA32B57" w14:textId="77777777" w:rsidR="0083004B" w:rsidRDefault="00E14A9E">
      <w:pPr>
        <w:spacing w:after="0" w:line="240" w:lineRule="auto"/>
        <w:rPr>
          <w:rFonts w:ascii="Garamond" w:eastAsia="Garamond" w:hAnsi="Garamond" w:cs="Garamond"/>
          <w:b/>
          <w:color w:val="000000"/>
        </w:rPr>
      </w:pPr>
      <w:r>
        <w:rPr>
          <w:rFonts w:ascii="Garamond" w:eastAsia="Garamond" w:hAnsi="Garamond" w:cs="Garamond"/>
          <w:b/>
          <w:color w:val="000000"/>
        </w:rPr>
        <w:t>Urban Heat Island (UHI)</w:t>
      </w:r>
      <w:r>
        <w:rPr>
          <w:rFonts w:ascii="Garamond" w:eastAsia="Garamond" w:hAnsi="Garamond" w:cs="Garamond"/>
          <w:color w:val="000000"/>
        </w:rPr>
        <w:t xml:space="preserve"> – Anomaly in which urban areas experience higher temperatures than their rural counterparts</w:t>
      </w:r>
    </w:p>
    <w:p w14:paraId="2DA32B58" w14:textId="77777777" w:rsidR="0083004B" w:rsidRDefault="0083004B">
      <w:pPr>
        <w:pStyle w:val="Heading1"/>
        <w:spacing w:before="0" w:line="240" w:lineRule="auto"/>
        <w:rPr>
          <w:rFonts w:ascii="Garamond" w:eastAsia="Garamond" w:hAnsi="Garamond" w:cs="Garamond"/>
          <w:b/>
          <w:color w:val="365F91"/>
          <w:sz w:val="28"/>
          <w:szCs w:val="28"/>
        </w:rPr>
      </w:pPr>
    </w:p>
    <w:p w14:paraId="2DA32B59" w14:textId="77777777" w:rsidR="0083004B" w:rsidRDefault="0083004B"/>
    <w:p w14:paraId="2DA32B5A" w14:textId="77777777" w:rsidR="0083004B" w:rsidRDefault="0083004B"/>
    <w:p w14:paraId="2DA32B5B" w14:textId="77777777" w:rsidR="0083004B" w:rsidRDefault="00E14A9E">
      <w:pPr>
        <w:pStyle w:val="Heading1"/>
        <w:spacing w:before="0" w:line="240" w:lineRule="auto"/>
        <w:rPr>
          <w:rFonts w:ascii="Garamond" w:eastAsia="Garamond" w:hAnsi="Garamond" w:cs="Garamond"/>
          <w:b/>
          <w:color w:val="365F91"/>
          <w:sz w:val="28"/>
          <w:szCs w:val="28"/>
        </w:rPr>
      </w:pPr>
      <w:r>
        <w:rPr>
          <w:rFonts w:ascii="Garamond" w:eastAsia="Garamond" w:hAnsi="Garamond" w:cs="Garamond"/>
          <w:b/>
          <w:color w:val="365F91"/>
          <w:sz w:val="28"/>
          <w:szCs w:val="28"/>
        </w:rPr>
        <w:t>8. References</w:t>
      </w:r>
    </w:p>
    <w:p w14:paraId="2DA32B5C" w14:textId="77777777" w:rsidR="0083004B" w:rsidRDefault="00E14A9E">
      <w:pPr>
        <w:spacing w:after="0" w:line="240" w:lineRule="auto"/>
        <w:rPr>
          <w:rFonts w:ascii="Garamond" w:eastAsia="Garamond" w:hAnsi="Garamond" w:cs="Garamond"/>
          <w:i/>
          <w:color w:val="000000"/>
          <w:highlight w:val="white"/>
        </w:rPr>
      </w:pPr>
      <w:proofErr w:type="spellStart"/>
      <w:r>
        <w:rPr>
          <w:rFonts w:ascii="Garamond" w:eastAsia="Garamond" w:hAnsi="Garamond" w:cs="Garamond"/>
          <w:color w:val="000000"/>
          <w:highlight w:val="white"/>
        </w:rPr>
        <w:t>Barbakova</w:t>
      </w:r>
      <w:proofErr w:type="spellEnd"/>
      <w:r>
        <w:rPr>
          <w:rFonts w:ascii="Garamond" w:eastAsia="Garamond" w:hAnsi="Garamond" w:cs="Garamond"/>
          <w:color w:val="000000"/>
          <w:highlight w:val="white"/>
        </w:rPr>
        <w:t xml:space="preserve">, T., Agrawal, A., </w:t>
      </w:r>
      <w:proofErr w:type="spellStart"/>
      <w:r>
        <w:rPr>
          <w:rFonts w:ascii="Garamond" w:eastAsia="Garamond" w:hAnsi="Garamond" w:cs="Garamond"/>
          <w:color w:val="000000"/>
          <w:highlight w:val="white"/>
        </w:rPr>
        <w:t>Trakas</w:t>
      </w:r>
      <w:proofErr w:type="spellEnd"/>
      <w:r>
        <w:rPr>
          <w:rFonts w:ascii="Garamond" w:eastAsia="Garamond" w:hAnsi="Garamond" w:cs="Garamond"/>
          <w:color w:val="000000"/>
          <w:highlight w:val="white"/>
        </w:rPr>
        <w:t xml:space="preserve">, A. </w:t>
      </w:r>
      <w:proofErr w:type="spellStart"/>
      <w:r>
        <w:rPr>
          <w:rFonts w:ascii="Garamond" w:eastAsia="Garamond" w:hAnsi="Garamond" w:cs="Garamond"/>
          <w:color w:val="000000"/>
          <w:highlight w:val="white"/>
        </w:rPr>
        <w:t>Pecsok</w:t>
      </w:r>
      <w:proofErr w:type="spellEnd"/>
      <w:r>
        <w:rPr>
          <w:rFonts w:ascii="Garamond" w:eastAsia="Garamond" w:hAnsi="Garamond" w:cs="Garamond"/>
          <w:color w:val="000000"/>
          <w:highlight w:val="white"/>
        </w:rPr>
        <w:t xml:space="preserve">, K. Mahoney, L. (2021). </w:t>
      </w:r>
      <w:r>
        <w:rPr>
          <w:rFonts w:ascii="Garamond" w:eastAsia="Garamond" w:hAnsi="Garamond" w:cs="Garamond"/>
          <w:i/>
          <w:color w:val="000000"/>
          <w:highlight w:val="white"/>
        </w:rPr>
        <w:t xml:space="preserve">Yonkers Urban Development: Leveraging </w:t>
      </w:r>
    </w:p>
    <w:p w14:paraId="2DA32B5D" w14:textId="77777777" w:rsidR="0083004B" w:rsidRDefault="00E14A9E">
      <w:pPr>
        <w:spacing w:after="0" w:line="240" w:lineRule="auto"/>
        <w:ind w:left="720"/>
        <w:rPr>
          <w:rFonts w:ascii="Garamond" w:eastAsia="Garamond" w:hAnsi="Garamond" w:cs="Garamond"/>
          <w:color w:val="000000"/>
          <w:highlight w:val="white"/>
        </w:rPr>
      </w:pPr>
      <w:r>
        <w:rPr>
          <w:rFonts w:ascii="Garamond" w:eastAsia="Garamond" w:hAnsi="Garamond" w:cs="Garamond"/>
          <w:i/>
          <w:color w:val="000000"/>
          <w:highlight w:val="white"/>
        </w:rPr>
        <w:t>NASA Earth Observations to Support Modeling Urban Cooling Interventions and Urban Heat Vulnerability in Yonkers, New York</w:t>
      </w:r>
      <w:r>
        <w:rPr>
          <w:rFonts w:ascii="Garamond" w:eastAsia="Garamond" w:hAnsi="Garamond" w:cs="Garamond"/>
          <w:color w:val="000000"/>
          <w:highlight w:val="white"/>
        </w:rPr>
        <w:t xml:space="preserve"> [Unpublished Manuscript]. NASA DEVELOP National Program, Arizona –</w:t>
      </w:r>
    </w:p>
    <w:p w14:paraId="2DA32B5E" w14:textId="77777777" w:rsidR="0083004B" w:rsidRDefault="00E14A9E">
      <w:pPr>
        <w:spacing w:after="0" w:line="240" w:lineRule="auto"/>
        <w:ind w:left="720"/>
        <w:rPr>
          <w:rFonts w:ascii="Garamond" w:eastAsia="Garamond" w:hAnsi="Garamond" w:cs="Garamond"/>
          <w:i/>
          <w:color w:val="000000"/>
          <w:highlight w:val="white"/>
        </w:rPr>
      </w:pPr>
      <w:r>
        <w:rPr>
          <w:rFonts w:ascii="Garamond" w:eastAsia="Garamond" w:hAnsi="Garamond" w:cs="Garamond"/>
          <w:color w:val="000000"/>
          <w:highlight w:val="white"/>
        </w:rPr>
        <w:t>Tempe.</w:t>
      </w:r>
    </w:p>
    <w:p w14:paraId="2DA32B5F" w14:textId="77777777" w:rsidR="0083004B" w:rsidRDefault="0083004B">
      <w:pPr>
        <w:spacing w:after="0" w:line="240" w:lineRule="auto"/>
        <w:ind w:left="720"/>
        <w:rPr>
          <w:rFonts w:ascii="Garamond" w:eastAsia="Garamond" w:hAnsi="Garamond" w:cs="Garamond"/>
          <w:color w:val="000000"/>
        </w:rPr>
      </w:pPr>
    </w:p>
    <w:p w14:paraId="2DA32B60" w14:textId="77777777" w:rsidR="0083004B" w:rsidRDefault="00E14A9E">
      <w:pPr>
        <w:spacing w:after="0" w:line="240" w:lineRule="auto"/>
        <w:ind w:left="720" w:hanging="720"/>
        <w:rPr>
          <w:rFonts w:ascii="Garamond" w:eastAsia="Garamond" w:hAnsi="Garamond" w:cs="Garamond"/>
          <w:color w:val="000000"/>
        </w:rPr>
      </w:pPr>
      <w:r>
        <w:rPr>
          <w:rFonts w:ascii="Garamond" w:eastAsia="Garamond" w:hAnsi="Garamond" w:cs="Garamond"/>
          <w:color w:val="000000"/>
        </w:rPr>
        <w:t>Bo-</w:t>
      </w:r>
      <w:proofErr w:type="spellStart"/>
      <w:r>
        <w:rPr>
          <w:rFonts w:ascii="Garamond" w:eastAsia="Garamond" w:hAnsi="Garamond" w:cs="Garamond"/>
          <w:color w:val="000000"/>
        </w:rPr>
        <w:t>cai</w:t>
      </w:r>
      <w:proofErr w:type="spellEnd"/>
      <w:r>
        <w:rPr>
          <w:rFonts w:ascii="Garamond" w:eastAsia="Garamond" w:hAnsi="Garamond" w:cs="Garamond"/>
          <w:color w:val="000000"/>
        </w:rPr>
        <w:t xml:space="preserve"> Gao (1996). </w:t>
      </w:r>
      <w:r>
        <w:rPr>
          <w:rFonts w:ascii="Garamond" w:eastAsia="Garamond" w:hAnsi="Garamond" w:cs="Garamond"/>
          <w:i/>
          <w:color w:val="000000"/>
        </w:rPr>
        <w:t>NDWI—A normalized difference water index for remote sensing of vegetation liquid water from space</w:t>
      </w:r>
      <w:r>
        <w:rPr>
          <w:rFonts w:ascii="Garamond" w:eastAsia="Garamond" w:hAnsi="Garamond" w:cs="Garamond"/>
          <w:color w:val="000000"/>
        </w:rPr>
        <w:t>, Remote Sensing of Environment, 58, 3, 257-266.</w:t>
      </w:r>
    </w:p>
    <w:p w14:paraId="2DA32B61" w14:textId="77777777" w:rsidR="0083004B" w:rsidRDefault="0083004B">
      <w:pPr>
        <w:spacing w:after="0" w:line="240" w:lineRule="auto"/>
        <w:rPr>
          <w:rFonts w:ascii="Garamond" w:eastAsia="Garamond" w:hAnsi="Garamond" w:cs="Garamond"/>
          <w:color w:val="000000"/>
          <w:highlight w:val="white"/>
        </w:rPr>
      </w:pPr>
    </w:p>
    <w:p w14:paraId="2DA32B62" w14:textId="77777777" w:rsidR="0083004B" w:rsidRDefault="00E14A9E">
      <w:pPr>
        <w:spacing w:after="0" w:line="240" w:lineRule="auto"/>
        <w:ind w:left="720" w:hanging="720"/>
        <w:rPr>
          <w:rFonts w:ascii="Garamond" w:eastAsia="Garamond" w:hAnsi="Garamond" w:cs="Garamond"/>
          <w:i/>
        </w:rPr>
      </w:pPr>
      <w:r>
        <w:rPr>
          <w:rFonts w:ascii="Garamond" w:eastAsia="Garamond" w:hAnsi="Garamond" w:cs="Garamond"/>
        </w:rPr>
        <w:t xml:space="preserve">Boogaard, S., </w:t>
      </w:r>
      <w:proofErr w:type="spellStart"/>
      <w:r>
        <w:rPr>
          <w:rFonts w:ascii="Garamond" w:eastAsia="Garamond" w:hAnsi="Garamond" w:cs="Garamond"/>
        </w:rPr>
        <w:t>Dialesandro</w:t>
      </w:r>
      <w:proofErr w:type="spellEnd"/>
      <w:r>
        <w:rPr>
          <w:rFonts w:ascii="Garamond" w:eastAsia="Garamond" w:hAnsi="Garamond" w:cs="Garamond"/>
        </w:rPr>
        <w:t xml:space="preserve">, J., Steiner, B., Pang A. (2020). </w:t>
      </w:r>
      <w:r>
        <w:rPr>
          <w:rFonts w:ascii="Garamond" w:eastAsia="Garamond" w:hAnsi="Garamond" w:cs="Garamond"/>
          <w:i/>
        </w:rPr>
        <w:t xml:space="preserve">Tempe Urban Development II: Establishing an Urban Heat Exposure Score for Infrastructure Prioritization in Tempe, Arizona, Using NASA Earth Observations and </w:t>
      </w:r>
    </w:p>
    <w:p w14:paraId="2DA32B63" w14:textId="77777777" w:rsidR="0083004B" w:rsidRDefault="00E14A9E">
      <w:pPr>
        <w:spacing w:after="0" w:line="240" w:lineRule="auto"/>
        <w:ind w:firstLine="720"/>
        <w:rPr>
          <w:rFonts w:ascii="Garamond" w:eastAsia="Garamond" w:hAnsi="Garamond" w:cs="Garamond"/>
          <w:color w:val="000000"/>
          <w:highlight w:val="white"/>
        </w:rPr>
      </w:pPr>
      <w:r>
        <w:rPr>
          <w:rFonts w:ascii="Garamond" w:eastAsia="Garamond" w:hAnsi="Garamond" w:cs="Garamond"/>
          <w:i/>
        </w:rPr>
        <w:t>LiDAR</w:t>
      </w:r>
      <w:r>
        <w:rPr>
          <w:rFonts w:ascii="Garamond" w:eastAsia="Garamond" w:hAnsi="Garamond" w:cs="Garamond"/>
        </w:rPr>
        <w:t xml:space="preserve"> [Unpublished Manuscript]. NASA DEVELOP National Program, Arizona – Tempe</w:t>
      </w:r>
      <w:r>
        <w:rPr>
          <w:rFonts w:ascii="Garamond" w:eastAsia="Garamond" w:hAnsi="Garamond" w:cs="Garamond"/>
          <w:color w:val="000000"/>
          <w:highlight w:val="white"/>
        </w:rPr>
        <w:t>.</w:t>
      </w:r>
    </w:p>
    <w:p w14:paraId="2DA32B64" w14:textId="77777777" w:rsidR="0083004B" w:rsidRDefault="0083004B">
      <w:pPr>
        <w:spacing w:after="0" w:line="240" w:lineRule="auto"/>
        <w:ind w:firstLine="720"/>
        <w:rPr>
          <w:rFonts w:ascii="Garamond" w:eastAsia="Garamond" w:hAnsi="Garamond" w:cs="Garamond"/>
          <w:color w:val="000000"/>
          <w:highlight w:val="white"/>
        </w:rPr>
      </w:pPr>
    </w:p>
    <w:p w14:paraId="2DA32B65" w14:textId="77777777" w:rsidR="0083004B" w:rsidRDefault="00E14A9E">
      <w:pPr>
        <w:spacing w:after="200" w:line="276" w:lineRule="auto"/>
        <w:rPr>
          <w:rFonts w:ascii="Garamond" w:eastAsia="Garamond" w:hAnsi="Garamond" w:cs="Garamond"/>
          <w:color w:val="000000"/>
        </w:rPr>
      </w:pPr>
      <w:r>
        <w:rPr>
          <w:rFonts w:ascii="Garamond" w:eastAsia="Garamond" w:hAnsi="Garamond" w:cs="Garamond"/>
          <w:color w:val="000000"/>
        </w:rPr>
        <w:t xml:space="preserve">Boone, C. G., </w:t>
      </w:r>
      <w:proofErr w:type="spellStart"/>
      <w:r>
        <w:rPr>
          <w:rFonts w:ascii="Garamond" w:eastAsia="Garamond" w:hAnsi="Garamond" w:cs="Garamond"/>
          <w:color w:val="000000"/>
        </w:rPr>
        <w:t>Fragkias</w:t>
      </w:r>
      <w:proofErr w:type="spellEnd"/>
      <w:r>
        <w:rPr>
          <w:rFonts w:ascii="Garamond" w:eastAsia="Garamond" w:hAnsi="Garamond" w:cs="Garamond"/>
          <w:color w:val="000000"/>
        </w:rPr>
        <w:t xml:space="preserve">, M., Buckley, G. L., &amp; Grove, J. M. (2014). A long view of polluting industry and </w:t>
      </w:r>
      <w:r>
        <w:tab/>
      </w:r>
      <w:r>
        <w:rPr>
          <w:rFonts w:ascii="Garamond" w:eastAsia="Garamond" w:hAnsi="Garamond" w:cs="Garamond"/>
          <w:color w:val="000000"/>
        </w:rPr>
        <w:t xml:space="preserve">environmental justice in Baltimore. </w:t>
      </w:r>
      <w:r>
        <w:rPr>
          <w:rFonts w:ascii="Garamond" w:eastAsia="Garamond" w:hAnsi="Garamond" w:cs="Garamond"/>
          <w:i/>
          <w:color w:val="000000"/>
        </w:rPr>
        <w:t>Cities</w:t>
      </w:r>
      <w:r>
        <w:rPr>
          <w:rFonts w:ascii="Garamond" w:eastAsia="Garamond" w:hAnsi="Garamond" w:cs="Garamond"/>
          <w:color w:val="000000"/>
        </w:rPr>
        <w:t xml:space="preserve">, </w:t>
      </w:r>
      <w:r>
        <w:rPr>
          <w:rFonts w:ascii="Garamond" w:eastAsia="Garamond" w:hAnsi="Garamond" w:cs="Garamond"/>
          <w:i/>
          <w:color w:val="000000"/>
        </w:rPr>
        <w:t>36</w:t>
      </w:r>
      <w:r>
        <w:rPr>
          <w:rFonts w:ascii="Garamond" w:eastAsia="Garamond" w:hAnsi="Garamond" w:cs="Garamond"/>
          <w:color w:val="000000"/>
        </w:rPr>
        <w:t xml:space="preserve">, 41–49. </w:t>
      </w:r>
      <w:hyperlink r:id="rId15">
        <w:r>
          <w:rPr>
            <w:rFonts w:ascii="Garamond" w:eastAsia="Garamond" w:hAnsi="Garamond" w:cs="Garamond"/>
            <w:color w:val="0563C1"/>
            <w:u w:val="single"/>
          </w:rPr>
          <w:t>https://doi.org/10.1016/j.cities.2013.09.004</w:t>
        </w:r>
      </w:hyperlink>
      <w:r>
        <w:rPr>
          <w:rFonts w:ascii="Garamond" w:eastAsia="Garamond" w:hAnsi="Garamond" w:cs="Garamond"/>
          <w:color w:val="000000"/>
        </w:rPr>
        <w:t xml:space="preserve"> </w:t>
      </w:r>
    </w:p>
    <w:p w14:paraId="2DA32B66" w14:textId="77777777" w:rsidR="0083004B" w:rsidRDefault="00E14A9E">
      <w:pPr>
        <w:spacing w:after="200" w:line="276" w:lineRule="auto"/>
        <w:rPr>
          <w:rFonts w:ascii="Garamond" w:eastAsia="Garamond" w:hAnsi="Garamond" w:cs="Garamond"/>
          <w:color w:val="000000"/>
        </w:rPr>
      </w:pPr>
      <w:r>
        <w:rPr>
          <w:rFonts w:ascii="Garamond" w:eastAsia="Garamond" w:hAnsi="Garamond" w:cs="Garamond"/>
          <w:color w:val="000000"/>
        </w:rPr>
        <w:t xml:space="preserve">Brown, L. T. (2022). </w:t>
      </w:r>
      <w:r>
        <w:rPr>
          <w:rFonts w:ascii="Garamond" w:eastAsia="Garamond" w:hAnsi="Garamond" w:cs="Garamond"/>
          <w:i/>
          <w:color w:val="000000"/>
        </w:rPr>
        <w:t>The Black Butterfly the Harmful Politics of Race and Space in America</w:t>
      </w:r>
      <w:r>
        <w:rPr>
          <w:rFonts w:ascii="Garamond" w:eastAsia="Garamond" w:hAnsi="Garamond" w:cs="Garamond"/>
          <w:color w:val="000000"/>
        </w:rPr>
        <w:t xml:space="preserve">. Johns Hopkins </w:t>
      </w:r>
      <w:r>
        <w:tab/>
      </w:r>
      <w:r>
        <w:tab/>
      </w:r>
      <w:r>
        <w:rPr>
          <w:rFonts w:ascii="Garamond" w:eastAsia="Garamond" w:hAnsi="Garamond" w:cs="Garamond"/>
          <w:color w:val="000000"/>
        </w:rPr>
        <w:t xml:space="preserve">University Press. </w:t>
      </w:r>
    </w:p>
    <w:p w14:paraId="2DA32B67"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CDC (U.S. Centers for Disease Control and Prevention). 2020. Indicator: Hear-related mortality. National </w:t>
      </w:r>
    </w:p>
    <w:p w14:paraId="2DA32B68" w14:textId="77777777" w:rsidR="0083004B" w:rsidRDefault="00E14A9E">
      <w:pPr>
        <w:spacing w:after="0" w:line="240" w:lineRule="auto"/>
        <w:ind w:firstLine="720"/>
        <w:rPr>
          <w:rFonts w:ascii="Garamond" w:eastAsia="Garamond" w:hAnsi="Garamond" w:cs="Garamond"/>
          <w:color w:val="000000"/>
        </w:rPr>
      </w:pPr>
      <w:r>
        <w:rPr>
          <w:rFonts w:ascii="Garamond" w:eastAsia="Garamond" w:hAnsi="Garamond" w:cs="Garamond"/>
          <w:color w:val="000000"/>
        </w:rPr>
        <w:t xml:space="preserve">Environmental Public Health Tracking Network. Accessed in February 2024. </w:t>
      </w:r>
    </w:p>
    <w:p w14:paraId="2DA32B69" w14:textId="77777777" w:rsidR="0083004B" w:rsidRDefault="00C07156">
      <w:pPr>
        <w:spacing w:after="0" w:line="240" w:lineRule="auto"/>
        <w:ind w:firstLine="720"/>
        <w:rPr>
          <w:rFonts w:ascii="Garamond" w:eastAsia="Garamond" w:hAnsi="Garamond" w:cs="Garamond"/>
          <w:color w:val="000000"/>
        </w:rPr>
      </w:pPr>
      <w:hyperlink r:id="rId16">
        <w:r w:rsidR="00E14A9E">
          <w:rPr>
            <w:rFonts w:ascii="Garamond" w:eastAsia="Garamond" w:hAnsi="Garamond" w:cs="Garamond"/>
            <w:color w:val="0563C1"/>
            <w:u w:val="single"/>
          </w:rPr>
          <w:t>https://ephtracking.cdc.gov</w:t>
        </w:r>
      </w:hyperlink>
      <w:r w:rsidR="00E14A9E">
        <w:rPr>
          <w:rFonts w:ascii="Garamond" w:eastAsia="Garamond" w:hAnsi="Garamond" w:cs="Garamond"/>
          <w:color w:val="000000"/>
        </w:rPr>
        <w:t xml:space="preserve"> </w:t>
      </w:r>
    </w:p>
    <w:p w14:paraId="2DA32B6A" w14:textId="77777777" w:rsidR="0083004B" w:rsidRDefault="0083004B">
      <w:pPr>
        <w:spacing w:after="0" w:line="240" w:lineRule="auto"/>
        <w:rPr>
          <w:rFonts w:ascii="Garamond" w:eastAsia="Garamond" w:hAnsi="Garamond" w:cs="Garamond"/>
          <w:color w:val="000000"/>
        </w:rPr>
      </w:pPr>
    </w:p>
    <w:p w14:paraId="2DA32B6B"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Cheng, W., Li, D., Liu, Z., &amp; Brown, R. D. (2021). Approaches for identifying heat-vulnerable </w:t>
      </w:r>
      <w:r>
        <w:tab/>
      </w:r>
      <w:r>
        <w:rPr>
          <w:rFonts w:ascii="Garamond" w:eastAsia="Garamond" w:hAnsi="Garamond" w:cs="Garamond"/>
          <w:color w:val="000000"/>
        </w:rPr>
        <w:t xml:space="preserve">populations and locations: A systematic review. </w:t>
      </w:r>
    </w:p>
    <w:p w14:paraId="2DA32B6C" w14:textId="77777777" w:rsidR="0083004B" w:rsidRDefault="00C07156">
      <w:pPr>
        <w:spacing w:after="0" w:line="240" w:lineRule="auto"/>
        <w:ind w:firstLine="720"/>
        <w:rPr>
          <w:rFonts w:ascii="Garamond" w:eastAsia="Garamond" w:hAnsi="Garamond" w:cs="Garamond"/>
          <w:color w:val="000000"/>
        </w:rPr>
      </w:pPr>
      <w:hyperlink r:id="rId17">
        <w:r w:rsidR="00E14A9E">
          <w:rPr>
            <w:rFonts w:ascii="Garamond" w:eastAsia="Garamond" w:hAnsi="Garamond" w:cs="Garamond"/>
            <w:color w:val="0563C1"/>
            <w:u w:val="single"/>
          </w:rPr>
          <w:t>https://www.sciencedirect.com/science/article/pii/S0048969721044910?via%3Dihub</w:t>
        </w:r>
      </w:hyperlink>
      <w:r w:rsidR="00E14A9E">
        <w:rPr>
          <w:rFonts w:ascii="Garamond" w:eastAsia="Garamond" w:hAnsi="Garamond" w:cs="Garamond"/>
          <w:color w:val="000000"/>
        </w:rPr>
        <w:t xml:space="preserve"> </w:t>
      </w:r>
    </w:p>
    <w:p w14:paraId="2DA32B6D" w14:textId="77777777" w:rsidR="0083004B" w:rsidRDefault="0083004B">
      <w:pPr>
        <w:spacing w:after="0" w:line="240" w:lineRule="auto"/>
        <w:rPr>
          <w:rFonts w:ascii="Garamond" w:eastAsia="Garamond" w:hAnsi="Garamond" w:cs="Garamond"/>
          <w:color w:val="000000"/>
        </w:rPr>
      </w:pPr>
    </w:p>
    <w:p w14:paraId="2DA32B6E"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rPr>
        <w:t xml:space="preserve">Climate Check, CMIP5 multi-model ensemble dataset. (2024). </w:t>
      </w:r>
      <w:r>
        <w:rPr>
          <w:rFonts w:ascii="Garamond" w:eastAsia="Garamond" w:hAnsi="Garamond" w:cs="Garamond"/>
          <w:i/>
          <w:color w:val="000000"/>
        </w:rPr>
        <w:t xml:space="preserve">Baltimore, Maryland Climate Change Risks and </w:t>
      </w:r>
      <w:r>
        <w:tab/>
      </w:r>
      <w:r>
        <w:rPr>
          <w:rFonts w:ascii="Garamond" w:eastAsia="Garamond" w:hAnsi="Garamond" w:cs="Garamond"/>
          <w:i/>
          <w:color w:val="000000"/>
        </w:rPr>
        <w:t>Hazards: Precipitation, Heat, and Drought</w:t>
      </w:r>
      <w:r>
        <w:rPr>
          <w:rFonts w:ascii="Garamond" w:eastAsia="Garamond" w:hAnsi="Garamond" w:cs="Garamond"/>
          <w:color w:val="000000"/>
        </w:rPr>
        <w:t xml:space="preserve">. </w:t>
      </w:r>
    </w:p>
    <w:p w14:paraId="2DA32B6F" w14:textId="77777777" w:rsidR="0083004B" w:rsidRDefault="0083004B">
      <w:pPr>
        <w:spacing w:after="0" w:line="240" w:lineRule="auto"/>
        <w:rPr>
          <w:rFonts w:ascii="Garamond" w:eastAsia="Garamond" w:hAnsi="Garamond" w:cs="Garamond"/>
          <w:color w:val="000000"/>
        </w:rPr>
      </w:pPr>
    </w:p>
    <w:p w14:paraId="2DA32B70" w14:textId="77777777" w:rsidR="0083004B" w:rsidRDefault="00E14A9E">
      <w:pPr>
        <w:spacing w:after="0" w:line="240" w:lineRule="auto"/>
        <w:ind w:left="720" w:hanging="720"/>
        <w:rPr>
          <w:rFonts w:ascii="Garamond" w:eastAsia="Garamond" w:hAnsi="Garamond" w:cs="Garamond"/>
          <w:color w:val="000000"/>
        </w:rPr>
      </w:pPr>
      <w:r>
        <w:rPr>
          <w:rFonts w:ascii="Garamond" w:eastAsia="Garamond" w:hAnsi="Garamond" w:cs="Garamond"/>
          <w:color w:val="000000"/>
        </w:rPr>
        <w:t xml:space="preserve">Cutter, S. L., </w:t>
      </w:r>
      <w:proofErr w:type="spellStart"/>
      <w:r>
        <w:rPr>
          <w:rFonts w:ascii="Garamond" w:eastAsia="Garamond" w:hAnsi="Garamond" w:cs="Garamond"/>
          <w:color w:val="000000"/>
        </w:rPr>
        <w:t>Boruff</w:t>
      </w:r>
      <w:proofErr w:type="spellEnd"/>
      <w:r>
        <w:rPr>
          <w:rFonts w:ascii="Garamond" w:eastAsia="Garamond" w:hAnsi="Garamond" w:cs="Garamond"/>
          <w:color w:val="000000"/>
        </w:rPr>
        <w:t xml:space="preserve">, B. J., &amp; Shirley, W. L. (2003). Social Vulnerability to Environmental Hazards n. In </w:t>
      </w:r>
      <w:r>
        <w:rPr>
          <w:rFonts w:ascii="Garamond" w:eastAsia="Garamond" w:hAnsi="Garamond" w:cs="Garamond"/>
          <w:i/>
          <w:color w:val="000000"/>
        </w:rPr>
        <w:t>699 Social Science Quarterly</w:t>
      </w:r>
      <w:r>
        <w:rPr>
          <w:rFonts w:ascii="Garamond" w:eastAsia="Garamond" w:hAnsi="Garamond" w:cs="Garamond"/>
          <w:color w:val="000000"/>
        </w:rPr>
        <w:t xml:space="preserve"> (Vol. 84). https://doi.org/10.1111/1540-6237.8402002</w:t>
      </w:r>
    </w:p>
    <w:p w14:paraId="2DA32B71" w14:textId="77777777" w:rsidR="0083004B" w:rsidRDefault="0083004B">
      <w:pPr>
        <w:spacing w:after="0" w:line="240" w:lineRule="auto"/>
        <w:rPr>
          <w:rFonts w:ascii="Garamond" w:eastAsia="Garamond" w:hAnsi="Garamond" w:cs="Garamond"/>
          <w:color w:val="000000"/>
        </w:rPr>
      </w:pPr>
    </w:p>
    <w:p w14:paraId="2DA32B72" w14:textId="77777777" w:rsidR="0083004B" w:rsidRDefault="00E14A9E">
      <w:pPr>
        <w:spacing w:after="0" w:line="240" w:lineRule="auto"/>
        <w:ind w:left="720" w:hanging="720"/>
        <w:rPr>
          <w:rFonts w:ascii="Garamond" w:eastAsia="Garamond" w:hAnsi="Garamond" w:cs="Garamond"/>
          <w:color w:val="000000"/>
        </w:rPr>
      </w:pPr>
      <w:proofErr w:type="spellStart"/>
      <w:r>
        <w:rPr>
          <w:rFonts w:ascii="Garamond" w:eastAsia="Garamond" w:hAnsi="Garamond" w:cs="Garamond"/>
          <w:color w:val="000000"/>
        </w:rPr>
        <w:t>Dialesandro</w:t>
      </w:r>
      <w:proofErr w:type="spellEnd"/>
      <w:r>
        <w:rPr>
          <w:rFonts w:ascii="Garamond" w:eastAsia="Garamond" w:hAnsi="Garamond" w:cs="Garamond"/>
          <w:color w:val="000000"/>
        </w:rPr>
        <w:t>, J., Kruskopf, M., Vargas, M., Marvin, M.(2021).</w:t>
      </w:r>
      <w:r>
        <w:rPr>
          <w:rFonts w:ascii="Garamond" w:eastAsia="Garamond" w:hAnsi="Garamond" w:cs="Garamond"/>
          <w:i/>
          <w:color w:val="000000"/>
        </w:rPr>
        <w:t xml:space="preserve"> San Diego Urban Development AZ: Utilizing NASA Earth Observations to Identify Drivers of Extreme Urban Heat and Generate a High-Resolution Vulnerability Index for Urban Planning and Climate Resiliency in San Diego, California </w:t>
      </w:r>
      <w:r>
        <w:rPr>
          <w:rFonts w:ascii="Garamond" w:eastAsia="Garamond" w:hAnsi="Garamond" w:cs="Garamond"/>
          <w:color w:val="000000"/>
        </w:rPr>
        <w:t>[Unpublished Manuscript] NASA DEVELOP National Program, Arizona – Tempe</w:t>
      </w:r>
    </w:p>
    <w:p w14:paraId="2DA32B73" w14:textId="77777777" w:rsidR="0083004B" w:rsidRDefault="0083004B">
      <w:pPr>
        <w:spacing w:after="0" w:line="240" w:lineRule="auto"/>
        <w:ind w:left="720"/>
        <w:rPr>
          <w:rFonts w:ascii="Garamond" w:eastAsia="Garamond" w:hAnsi="Garamond" w:cs="Garamond"/>
          <w:color w:val="000000"/>
        </w:rPr>
      </w:pPr>
    </w:p>
    <w:p w14:paraId="2DA32B74" w14:textId="77777777" w:rsidR="0083004B" w:rsidRDefault="00E14A9E">
      <w:pPr>
        <w:spacing w:after="200" w:line="276" w:lineRule="auto"/>
        <w:ind w:left="720" w:hanging="720"/>
        <w:rPr>
          <w:rFonts w:ascii="Garamond" w:eastAsia="Garamond" w:hAnsi="Garamond" w:cs="Garamond"/>
          <w:color w:val="000000"/>
        </w:rPr>
      </w:pPr>
      <w:r>
        <w:rPr>
          <w:rFonts w:ascii="Garamond" w:eastAsia="Garamond" w:hAnsi="Garamond" w:cs="Garamond"/>
          <w:color w:val="000000"/>
        </w:rPr>
        <w:t xml:space="preserve">Grove, M., Ogden, L., Pickett, S., Boone, C., Buckley, G., Locke, D. H., Lord, C., &amp; Hall, B. (2017). The legacy effect: Understanding how segregation and environmental injustice unfold over time in Baltimore. </w:t>
      </w:r>
      <w:r>
        <w:rPr>
          <w:rFonts w:ascii="Garamond" w:eastAsia="Garamond" w:hAnsi="Garamond" w:cs="Garamond"/>
          <w:i/>
          <w:color w:val="000000"/>
        </w:rPr>
        <w:t>Annals of the American Association of Geographers</w:t>
      </w:r>
      <w:r>
        <w:rPr>
          <w:rFonts w:ascii="Garamond" w:eastAsia="Garamond" w:hAnsi="Garamond" w:cs="Garamond"/>
          <w:color w:val="000000"/>
        </w:rPr>
        <w:t xml:space="preserve">, </w:t>
      </w:r>
      <w:r>
        <w:rPr>
          <w:rFonts w:ascii="Garamond" w:eastAsia="Garamond" w:hAnsi="Garamond" w:cs="Garamond"/>
          <w:i/>
          <w:color w:val="000000"/>
        </w:rPr>
        <w:t>108</w:t>
      </w:r>
      <w:r>
        <w:rPr>
          <w:rFonts w:ascii="Garamond" w:eastAsia="Garamond" w:hAnsi="Garamond" w:cs="Garamond"/>
          <w:color w:val="000000"/>
        </w:rPr>
        <w:t xml:space="preserve">(2), 524–537. </w:t>
      </w:r>
      <w:hyperlink r:id="rId18">
        <w:r>
          <w:rPr>
            <w:rFonts w:ascii="Garamond" w:eastAsia="Garamond" w:hAnsi="Garamond" w:cs="Garamond"/>
            <w:color w:val="0563C1"/>
            <w:u w:val="single"/>
          </w:rPr>
          <w:t>https://doi.org/10.1080/24694452.2017.1365585</w:t>
        </w:r>
      </w:hyperlink>
    </w:p>
    <w:p w14:paraId="2DA32B75" w14:textId="77777777" w:rsidR="0083004B" w:rsidRDefault="00E14A9E">
      <w:pPr>
        <w:spacing w:after="200" w:line="276" w:lineRule="auto"/>
        <w:ind w:left="720" w:hanging="720"/>
        <w:rPr>
          <w:rFonts w:ascii="Garamond" w:eastAsia="Garamond" w:hAnsi="Garamond" w:cs="Garamond"/>
          <w:color w:val="000000"/>
        </w:rPr>
      </w:pPr>
      <w:r>
        <w:rPr>
          <w:rFonts w:ascii="Garamond" w:eastAsia="Garamond" w:hAnsi="Garamond" w:cs="Garamond"/>
          <w:color w:val="000000"/>
        </w:rPr>
        <w:lastRenderedPageBreak/>
        <w:t xml:space="preserve">Harlan, S. L., </w:t>
      </w:r>
      <w:proofErr w:type="spellStart"/>
      <w:r>
        <w:rPr>
          <w:rFonts w:ascii="Garamond" w:eastAsia="Garamond" w:hAnsi="Garamond" w:cs="Garamond"/>
          <w:color w:val="000000"/>
        </w:rPr>
        <w:t>Brazel</w:t>
      </w:r>
      <w:proofErr w:type="spellEnd"/>
      <w:r>
        <w:rPr>
          <w:rFonts w:ascii="Garamond" w:eastAsia="Garamond" w:hAnsi="Garamond" w:cs="Garamond"/>
          <w:color w:val="000000"/>
        </w:rPr>
        <w:t xml:space="preserve">, A. J., Prashad, L., Stefanov, W. L., &amp; Larsen, L. (2006). Neighborhood microclimates and vulnerability to heat stress. </w:t>
      </w:r>
      <w:r>
        <w:rPr>
          <w:rFonts w:ascii="Garamond" w:eastAsia="Garamond" w:hAnsi="Garamond" w:cs="Garamond"/>
          <w:i/>
          <w:color w:val="000000"/>
        </w:rPr>
        <w:t>Social Science &amp;amp; Medicine</w:t>
      </w:r>
      <w:r>
        <w:rPr>
          <w:rFonts w:ascii="Garamond" w:eastAsia="Garamond" w:hAnsi="Garamond" w:cs="Garamond"/>
          <w:color w:val="000000"/>
        </w:rPr>
        <w:t xml:space="preserve">, </w:t>
      </w:r>
      <w:r>
        <w:rPr>
          <w:rFonts w:ascii="Garamond" w:eastAsia="Garamond" w:hAnsi="Garamond" w:cs="Garamond"/>
          <w:i/>
          <w:color w:val="000000"/>
        </w:rPr>
        <w:t>63</w:t>
      </w:r>
      <w:r>
        <w:rPr>
          <w:rFonts w:ascii="Garamond" w:eastAsia="Garamond" w:hAnsi="Garamond" w:cs="Garamond"/>
          <w:color w:val="000000"/>
        </w:rPr>
        <w:t xml:space="preserve">(11), 2847–2863. </w:t>
      </w:r>
      <w:hyperlink r:id="rId19">
        <w:r>
          <w:rPr>
            <w:rFonts w:ascii="Garamond" w:eastAsia="Garamond" w:hAnsi="Garamond" w:cs="Garamond"/>
            <w:color w:val="0563C1"/>
            <w:u w:val="single"/>
          </w:rPr>
          <w:t>https://doi.org/10.1016/j.socscimed.2006.07.030</w:t>
        </w:r>
      </w:hyperlink>
      <w:r>
        <w:rPr>
          <w:rFonts w:ascii="Garamond" w:eastAsia="Garamond" w:hAnsi="Garamond" w:cs="Garamond"/>
          <w:color w:val="000000"/>
        </w:rPr>
        <w:t xml:space="preserve"> </w:t>
      </w:r>
    </w:p>
    <w:p w14:paraId="2DA32B76" w14:textId="77777777" w:rsidR="0083004B" w:rsidRDefault="00E14A9E">
      <w:pPr>
        <w:spacing w:after="0" w:line="240" w:lineRule="auto"/>
        <w:ind w:left="720" w:hanging="720"/>
        <w:rPr>
          <w:rFonts w:ascii="Garamond" w:eastAsia="Garamond" w:hAnsi="Garamond" w:cs="Garamond"/>
          <w:color w:val="000000"/>
        </w:rPr>
      </w:pPr>
      <w:r>
        <w:rPr>
          <w:rFonts w:ascii="Garamond" w:eastAsia="Garamond" w:hAnsi="Garamond" w:cs="Garamond"/>
          <w:color w:val="000000"/>
        </w:rPr>
        <w:t xml:space="preserve">Harlan, S. L., </w:t>
      </w:r>
      <w:proofErr w:type="spellStart"/>
      <w:r>
        <w:rPr>
          <w:rFonts w:ascii="Garamond" w:eastAsia="Garamond" w:hAnsi="Garamond" w:cs="Garamond"/>
          <w:color w:val="000000"/>
        </w:rPr>
        <w:t>Declet</w:t>
      </w:r>
      <w:proofErr w:type="spellEnd"/>
      <w:r>
        <w:rPr>
          <w:rFonts w:ascii="Garamond" w:eastAsia="Garamond" w:hAnsi="Garamond" w:cs="Garamond"/>
          <w:color w:val="000000"/>
        </w:rPr>
        <w:t xml:space="preserve">-Barreto, J. H., Stefanov, W. L., &amp; </w:t>
      </w:r>
      <w:proofErr w:type="spellStart"/>
      <w:r>
        <w:rPr>
          <w:rFonts w:ascii="Garamond" w:eastAsia="Garamond" w:hAnsi="Garamond" w:cs="Garamond"/>
          <w:color w:val="000000"/>
        </w:rPr>
        <w:t>Petitti</w:t>
      </w:r>
      <w:proofErr w:type="spellEnd"/>
      <w:r>
        <w:rPr>
          <w:rFonts w:ascii="Garamond" w:eastAsia="Garamond" w:hAnsi="Garamond" w:cs="Garamond"/>
          <w:color w:val="000000"/>
        </w:rPr>
        <w:t xml:space="preserve">, D. B. (2013). Neighborhood effects on heat deaths: Social and environmental predictors of vulnerability in Maricopa County, Arizona. </w:t>
      </w:r>
      <w:r>
        <w:rPr>
          <w:rFonts w:ascii="Garamond" w:eastAsia="Garamond" w:hAnsi="Garamond" w:cs="Garamond"/>
          <w:i/>
          <w:color w:val="000000"/>
        </w:rPr>
        <w:t>Environmental Health Perspectives</w:t>
      </w:r>
      <w:r>
        <w:rPr>
          <w:rFonts w:ascii="Garamond" w:eastAsia="Garamond" w:hAnsi="Garamond" w:cs="Garamond"/>
          <w:color w:val="000000"/>
        </w:rPr>
        <w:t xml:space="preserve">, </w:t>
      </w:r>
      <w:r>
        <w:rPr>
          <w:rFonts w:ascii="Garamond" w:eastAsia="Garamond" w:hAnsi="Garamond" w:cs="Garamond"/>
          <w:i/>
          <w:color w:val="000000"/>
        </w:rPr>
        <w:t>121</w:t>
      </w:r>
      <w:r>
        <w:rPr>
          <w:rFonts w:ascii="Garamond" w:eastAsia="Garamond" w:hAnsi="Garamond" w:cs="Garamond"/>
          <w:color w:val="000000"/>
        </w:rPr>
        <w:t xml:space="preserve">(2), 197–204. </w:t>
      </w:r>
      <w:hyperlink r:id="rId20">
        <w:r>
          <w:rPr>
            <w:rFonts w:ascii="Garamond" w:eastAsia="Garamond" w:hAnsi="Garamond" w:cs="Garamond"/>
            <w:color w:val="0563C1"/>
            <w:u w:val="single"/>
          </w:rPr>
          <w:t>https://doi.org/10.1289/ehp.1104625</w:t>
        </w:r>
      </w:hyperlink>
    </w:p>
    <w:p w14:paraId="2DA32B77" w14:textId="77777777" w:rsidR="0083004B" w:rsidRDefault="0083004B">
      <w:pPr>
        <w:spacing w:after="0" w:line="240" w:lineRule="auto"/>
        <w:rPr>
          <w:rFonts w:ascii="Garamond" w:eastAsia="Garamond" w:hAnsi="Garamond" w:cs="Garamond"/>
          <w:color w:val="000000"/>
        </w:rPr>
      </w:pPr>
    </w:p>
    <w:p w14:paraId="2DA32B78" w14:textId="77777777" w:rsidR="0083004B" w:rsidRDefault="00E14A9E">
      <w:pPr>
        <w:spacing w:after="200" w:line="276" w:lineRule="auto"/>
        <w:ind w:left="720" w:hanging="720"/>
        <w:rPr>
          <w:rFonts w:ascii="Garamond" w:eastAsia="Garamond" w:hAnsi="Garamond" w:cs="Garamond"/>
          <w:color w:val="000000"/>
        </w:rPr>
      </w:pPr>
      <w:r>
        <w:rPr>
          <w:rFonts w:ascii="Garamond" w:eastAsia="Garamond" w:hAnsi="Garamond" w:cs="Garamond"/>
          <w:color w:val="000000"/>
        </w:rPr>
        <w:t xml:space="preserve">Hsu, A., Sheriff, G., Chakraborty, T., &amp; Manya, D. (2021). Disproportionate exposure to urban heat island intensity across major US cities. </w:t>
      </w:r>
      <w:r>
        <w:rPr>
          <w:rFonts w:ascii="Garamond" w:eastAsia="Garamond" w:hAnsi="Garamond" w:cs="Garamond"/>
          <w:i/>
          <w:color w:val="000000"/>
        </w:rPr>
        <w:t>Nature Communications</w:t>
      </w:r>
      <w:r>
        <w:rPr>
          <w:rFonts w:ascii="Garamond" w:eastAsia="Garamond" w:hAnsi="Garamond" w:cs="Garamond"/>
          <w:color w:val="000000"/>
        </w:rPr>
        <w:t xml:space="preserve">, </w:t>
      </w:r>
      <w:r>
        <w:rPr>
          <w:rFonts w:ascii="Garamond" w:eastAsia="Garamond" w:hAnsi="Garamond" w:cs="Garamond"/>
          <w:i/>
          <w:color w:val="000000"/>
        </w:rPr>
        <w:t>12</w:t>
      </w:r>
      <w:r>
        <w:rPr>
          <w:rFonts w:ascii="Garamond" w:eastAsia="Garamond" w:hAnsi="Garamond" w:cs="Garamond"/>
          <w:color w:val="000000"/>
        </w:rPr>
        <w:t xml:space="preserve">(1). </w:t>
      </w:r>
      <w:hyperlink r:id="rId21">
        <w:r>
          <w:rPr>
            <w:rFonts w:ascii="Garamond" w:eastAsia="Garamond" w:hAnsi="Garamond" w:cs="Garamond"/>
            <w:color w:val="0563C1"/>
            <w:u w:val="single"/>
          </w:rPr>
          <w:t>https://doi.org/10.1038/s41467-021-22799-5</w:t>
        </w:r>
      </w:hyperlink>
      <w:r>
        <w:rPr>
          <w:rFonts w:ascii="Garamond" w:eastAsia="Garamond" w:hAnsi="Garamond" w:cs="Garamond"/>
          <w:color w:val="000000"/>
        </w:rPr>
        <w:t xml:space="preserve"> </w:t>
      </w:r>
    </w:p>
    <w:p w14:paraId="2DA32B79" w14:textId="77777777" w:rsidR="0083004B" w:rsidRDefault="00E14A9E">
      <w:pPr>
        <w:spacing w:after="200" w:line="276" w:lineRule="auto"/>
        <w:ind w:left="720" w:hanging="720"/>
        <w:rPr>
          <w:rFonts w:ascii="Garamond" w:eastAsia="Garamond" w:hAnsi="Garamond" w:cs="Garamond"/>
          <w:color w:val="000000"/>
        </w:rPr>
      </w:pPr>
      <w:r>
        <w:rPr>
          <w:rFonts w:ascii="Garamond" w:eastAsia="Garamond" w:hAnsi="Garamond" w:cs="Garamond"/>
          <w:color w:val="000000"/>
        </w:rPr>
        <w:t xml:space="preserve">IPCC (2023). </w:t>
      </w:r>
      <w:r>
        <w:rPr>
          <w:rFonts w:ascii="Garamond" w:eastAsia="Garamond" w:hAnsi="Garamond" w:cs="Garamond"/>
          <w:i/>
          <w:color w:val="000000"/>
        </w:rPr>
        <w:t>Chapter 11: Weather and Climate Extreme Events in a Changing Climate</w:t>
      </w:r>
      <w:r>
        <w:rPr>
          <w:rFonts w:ascii="Garamond" w:eastAsia="Garamond" w:hAnsi="Garamond" w:cs="Garamond"/>
          <w:color w:val="000000"/>
        </w:rPr>
        <w:t xml:space="preserve">. IPCC Sixth Assessment Report Working Group 1: The Physical Science Basis. </w:t>
      </w:r>
      <w:hyperlink r:id="rId22">
        <w:r>
          <w:rPr>
            <w:rFonts w:ascii="Garamond" w:eastAsia="Garamond" w:hAnsi="Garamond" w:cs="Garamond"/>
            <w:color w:val="0563C1"/>
            <w:u w:val="single"/>
          </w:rPr>
          <w:t>https://www.ipcc.ch/report/ar6/wg1/downloads/report/IPCC_AR6_WGI_Chapter11.pdf</w:t>
        </w:r>
      </w:hyperlink>
      <w:r>
        <w:rPr>
          <w:rFonts w:ascii="Garamond" w:eastAsia="Garamond" w:hAnsi="Garamond" w:cs="Garamond"/>
          <w:color w:val="000000"/>
        </w:rPr>
        <w:t xml:space="preserve"> </w:t>
      </w:r>
    </w:p>
    <w:p w14:paraId="2DA32B7A" w14:textId="77777777" w:rsidR="0083004B" w:rsidRDefault="00E14A9E">
      <w:pPr>
        <w:spacing w:after="0" w:line="240" w:lineRule="auto"/>
        <w:ind w:left="720" w:hanging="720"/>
        <w:rPr>
          <w:rFonts w:ascii="Garamond" w:eastAsia="Garamond" w:hAnsi="Garamond" w:cs="Garamond"/>
          <w:color w:val="000000"/>
        </w:rPr>
      </w:pPr>
      <w:r>
        <w:rPr>
          <w:rFonts w:ascii="Garamond" w:eastAsia="Garamond" w:hAnsi="Garamond" w:cs="Garamond"/>
          <w:color w:val="000000"/>
        </w:rPr>
        <w:t xml:space="preserve">Iqbal, N., Ravan, M., Jamshed, A., </w:t>
      </w:r>
      <w:proofErr w:type="spellStart"/>
      <w:r>
        <w:rPr>
          <w:rFonts w:ascii="Garamond" w:eastAsia="Garamond" w:hAnsi="Garamond" w:cs="Garamond"/>
          <w:color w:val="000000"/>
        </w:rPr>
        <w:t>Birkmann</w:t>
      </w:r>
      <w:proofErr w:type="spellEnd"/>
      <w:r>
        <w:rPr>
          <w:rFonts w:ascii="Garamond" w:eastAsia="Garamond" w:hAnsi="Garamond" w:cs="Garamond"/>
          <w:color w:val="000000"/>
        </w:rPr>
        <w:t xml:space="preserve">, J., </w:t>
      </w:r>
      <w:proofErr w:type="spellStart"/>
      <w:r>
        <w:rPr>
          <w:rFonts w:ascii="Garamond" w:eastAsia="Garamond" w:hAnsi="Garamond" w:cs="Garamond"/>
          <w:color w:val="000000"/>
        </w:rPr>
        <w:t>Somarakis</w:t>
      </w:r>
      <w:proofErr w:type="spellEnd"/>
      <w:r>
        <w:rPr>
          <w:rFonts w:ascii="Garamond" w:eastAsia="Garamond" w:hAnsi="Garamond" w:cs="Garamond"/>
          <w:color w:val="000000"/>
        </w:rPr>
        <w:t xml:space="preserve">, G., </w:t>
      </w:r>
      <w:proofErr w:type="spellStart"/>
      <w:r>
        <w:rPr>
          <w:rFonts w:ascii="Garamond" w:eastAsia="Garamond" w:hAnsi="Garamond" w:cs="Garamond"/>
          <w:color w:val="000000"/>
        </w:rPr>
        <w:t>Mitraka</w:t>
      </w:r>
      <w:proofErr w:type="spellEnd"/>
      <w:r>
        <w:rPr>
          <w:rFonts w:ascii="Garamond" w:eastAsia="Garamond" w:hAnsi="Garamond" w:cs="Garamond"/>
          <w:color w:val="000000"/>
        </w:rPr>
        <w:t xml:space="preserve">, Z., &amp; </w:t>
      </w:r>
      <w:proofErr w:type="spellStart"/>
      <w:r>
        <w:rPr>
          <w:rFonts w:ascii="Garamond" w:eastAsia="Garamond" w:hAnsi="Garamond" w:cs="Garamond"/>
          <w:color w:val="000000"/>
        </w:rPr>
        <w:t>Chrysoulakis</w:t>
      </w:r>
      <w:proofErr w:type="spellEnd"/>
      <w:r>
        <w:rPr>
          <w:rFonts w:ascii="Garamond" w:eastAsia="Garamond" w:hAnsi="Garamond" w:cs="Garamond"/>
          <w:color w:val="000000"/>
        </w:rPr>
        <w:t xml:space="preserve">, N. (2022). Linkages between typologies of existing urban development patterns and human vulnerability to heat stress in Lahore. </w:t>
      </w:r>
      <w:r>
        <w:rPr>
          <w:rFonts w:ascii="Garamond" w:eastAsia="Garamond" w:hAnsi="Garamond" w:cs="Garamond"/>
          <w:i/>
          <w:color w:val="000000"/>
        </w:rPr>
        <w:t>Sustainability</w:t>
      </w:r>
      <w:r>
        <w:rPr>
          <w:rFonts w:ascii="Garamond" w:eastAsia="Garamond" w:hAnsi="Garamond" w:cs="Garamond"/>
          <w:color w:val="000000"/>
        </w:rPr>
        <w:t xml:space="preserve">, </w:t>
      </w:r>
      <w:r>
        <w:rPr>
          <w:rFonts w:ascii="Garamond" w:eastAsia="Garamond" w:hAnsi="Garamond" w:cs="Garamond"/>
          <w:i/>
          <w:color w:val="000000"/>
        </w:rPr>
        <w:t>14</w:t>
      </w:r>
      <w:r>
        <w:rPr>
          <w:rFonts w:ascii="Garamond" w:eastAsia="Garamond" w:hAnsi="Garamond" w:cs="Garamond"/>
          <w:color w:val="000000"/>
        </w:rPr>
        <w:t xml:space="preserve">(17), 10561. </w:t>
      </w:r>
      <w:hyperlink r:id="rId23">
        <w:r>
          <w:rPr>
            <w:rFonts w:ascii="Garamond" w:eastAsia="Garamond" w:hAnsi="Garamond" w:cs="Garamond"/>
            <w:color w:val="0563C1"/>
            <w:u w:val="single"/>
          </w:rPr>
          <w:t>https://doi.org/10.3390/su141710561</w:t>
        </w:r>
      </w:hyperlink>
      <w:r>
        <w:rPr>
          <w:rFonts w:ascii="Garamond" w:eastAsia="Garamond" w:hAnsi="Garamond" w:cs="Garamond"/>
          <w:color w:val="000000"/>
        </w:rPr>
        <w:t xml:space="preserve"> </w:t>
      </w:r>
    </w:p>
    <w:p w14:paraId="2DA32B7B" w14:textId="77777777" w:rsidR="0083004B" w:rsidRDefault="0083004B">
      <w:pPr>
        <w:spacing w:after="0" w:line="240" w:lineRule="auto"/>
        <w:rPr>
          <w:rFonts w:ascii="Garamond" w:eastAsia="Garamond" w:hAnsi="Garamond" w:cs="Garamond"/>
          <w:color w:val="000000"/>
        </w:rPr>
      </w:pPr>
    </w:p>
    <w:p w14:paraId="2DA32B7C" w14:textId="77777777" w:rsidR="0083004B" w:rsidRDefault="00E14A9E">
      <w:pPr>
        <w:spacing w:after="0" w:line="240" w:lineRule="auto"/>
        <w:ind w:left="720" w:hanging="720"/>
        <w:rPr>
          <w:rFonts w:ascii="Garamond" w:eastAsia="Garamond" w:hAnsi="Garamond" w:cs="Garamond"/>
          <w:color w:val="000000"/>
        </w:rPr>
      </w:pPr>
      <w:proofErr w:type="spellStart"/>
      <w:r>
        <w:rPr>
          <w:rFonts w:ascii="Garamond" w:eastAsia="Garamond" w:hAnsi="Garamond" w:cs="Garamond"/>
          <w:color w:val="212121"/>
          <w:highlight w:val="white"/>
        </w:rPr>
        <w:t>Kauh</w:t>
      </w:r>
      <w:proofErr w:type="spellEnd"/>
      <w:r>
        <w:rPr>
          <w:rFonts w:ascii="Garamond" w:eastAsia="Garamond" w:hAnsi="Garamond" w:cs="Garamond"/>
          <w:color w:val="212121"/>
          <w:highlight w:val="white"/>
        </w:rPr>
        <w:t xml:space="preserve">, T. J., Read, J. G., &amp; </w:t>
      </w:r>
      <w:proofErr w:type="spellStart"/>
      <w:r>
        <w:rPr>
          <w:rFonts w:ascii="Garamond" w:eastAsia="Garamond" w:hAnsi="Garamond" w:cs="Garamond"/>
          <w:color w:val="212121"/>
          <w:highlight w:val="white"/>
        </w:rPr>
        <w:t>Scheitler</w:t>
      </w:r>
      <w:proofErr w:type="spellEnd"/>
      <w:r>
        <w:rPr>
          <w:rFonts w:ascii="Garamond" w:eastAsia="Garamond" w:hAnsi="Garamond" w:cs="Garamond"/>
          <w:color w:val="212121"/>
          <w:highlight w:val="white"/>
        </w:rPr>
        <w:t>, A. J. (2021). The Critical Role of Racial/Ethnic Data Disaggregation for Health Equity. </w:t>
      </w:r>
      <w:r>
        <w:rPr>
          <w:rFonts w:ascii="Garamond" w:eastAsia="Garamond" w:hAnsi="Garamond" w:cs="Garamond"/>
          <w:i/>
          <w:color w:val="212121"/>
          <w:highlight w:val="white"/>
        </w:rPr>
        <w:t>Population research and policy review</w:t>
      </w:r>
      <w:r>
        <w:rPr>
          <w:rFonts w:ascii="Garamond" w:eastAsia="Garamond" w:hAnsi="Garamond" w:cs="Garamond"/>
          <w:color w:val="212121"/>
          <w:highlight w:val="white"/>
        </w:rPr>
        <w:t>, </w:t>
      </w:r>
      <w:r>
        <w:rPr>
          <w:rFonts w:ascii="Garamond" w:eastAsia="Garamond" w:hAnsi="Garamond" w:cs="Garamond"/>
          <w:i/>
          <w:color w:val="212121"/>
          <w:highlight w:val="white"/>
        </w:rPr>
        <w:t>40</w:t>
      </w:r>
      <w:r>
        <w:rPr>
          <w:rFonts w:ascii="Garamond" w:eastAsia="Garamond" w:hAnsi="Garamond" w:cs="Garamond"/>
          <w:color w:val="212121"/>
          <w:highlight w:val="white"/>
        </w:rPr>
        <w:t xml:space="preserve">(1), 1–7. </w:t>
      </w:r>
      <w:hyperlink r:id="rId24">
        <w:r>
          <w:rPr>
            <w:rFonts w:ascii="Garamond" w:eastAsia="Garamond" w:hAnsi="Garamond" w:cs="Garamond"/>
            <w:color w:val="0563C1"/>
            <w:highlight w:val="white"/>
            <w:u w:val="single"/>
          </w:rPr>
          <w:t>https://doi.org/10.1007/s11113-020-09631-6</w:t>
        </w:r>
      </w:hyperlink>
    </w:p>
    <w:p w14:paraId="2DA32B7D" w14:textId="77777777" w:rsidR="0083004B" w:rsidRDefault="0083004B">
      <w:pPr>
        <w:spacing w:after="0" w:line="240" w:lineRule="auto"/>
        <w:ind w:left="720" w:hanging="720"/>
        <w:rPr>
          <w:rFonts w:ascii="Garamond" w:eastAsia="Garamond" w:hAnsi="Garamond" w:cs="Garamond"/>
          <w:color w:val="000000"/>
          <w:highlight w:val="white"/>
        </w:rPr>
      </w:pPr>
    </w:p>
    <w:p w14:paraId="2DA32B7E" w14:textId="77777777" w:rsidR="0083004B" w:rsidRDefault="00E14A9E">
      <w:pPr>
        <w:spacing w:after="0" w:line="240" w:lineRule="auto"/>
        <w:rPr>
          <w:rFonts w:ascii="Garamond" w:eastAsia="Garamond" w:hAnsi="Garamond" w:cs="Garamond"/>
          <w:i/>
          <w:color w:val="000000"/>
          <w:highlight w:val="white"/>
        </w:rPr>
      </w:pPr>
      <w:r>
        <w:rPr>
          <w:rFonts w:ascii="Garamond" w:eastAsia="Garamond" w:hAnsi="Garamond" w:cs="Garamond"/>
          <w:color w:val="000000"/>
          <w:highlight w:val="white"/>
        </w:rPr>
        <w:t xml:space="preserve">Keyes, N., McLaren, C., Phan, N., &amp; Vazquez, D. (2022). </w:t>
      </w:r>
      <w:r>
        <w:rPr>
          <w:rFonts w:ascii="Garamond" w:eastAsia="Garamond" w:hAnsi="Garamond" w:cs="Garamond"/>
          <w:i/>
          <w:color w:val="000000"/>
          <w:highlight w:val="white"/>
        </w:rPr>
        <w:t xml:space="preserve">Milwaukee Urban Development II VEJ: Assessing </w:t>
      </w:r>
    </w:p>
    <w:p w14:paraId="2DA32B7F" w14:textId="77777777" w:rsidR="0083004B" w:rsidRDefault="00E14A9E">
      <w:pPr>
        <w:spacing w:after="0" w:line="240" w:lineRule="auto"/>
        <w:ind w:left="720"/>
        <w:rPr>
          <w:rFonts w:ascii="Garamond" w:eastAsia="Garamond" w:hAnsi="Garamond" w:cs="Garamond"/>
          <w:i/>
          <w:color w:val="000000"/>
          <w:highlight w:val="white"/>
        </w:rPr>
      </w:pPr>
      <w:r>
        <w:rPr>
          <w:rFonts w:ascii="Garamond" w:eastAsia="Garamond" w:hAnsi="Garamond" w:cs="Garamond"/>
          <w:i/>
          <w:color w:val="000000"/>
          <w:highlight w:val="white"/>
        </w:rPr>
        <w:t xml:space="preserve">Climate Vulnerability through </w:t>
      </w:r>
      <w:proofErr w:type="spellStart"/>
      <w:r>
        <w:rPr>
          <w:rFonts w:ascii="Garamond" w:eastAsia="Garamond" w:hAnsi="Garamond" w:cs="Garamond"/>
          <w:i/>
          <w:color w:val="000000"/>
          <w:highlight w:val="white"/>
        </w:rPr>
        <w:t>InVEST</w:t>
      </w:r>
      <w:proofErr w:type="spellEnd"/>
      <w:r>
        <w:rPr>
          <w:rFonts w:ascii="Garamond" w:eastAsia="Garamond" w:hAnsi="Garamond" w:cs="Garamond"/>
          <w:i/>
          <w:color w:val="000000"/>
          <w:highlight w:val="white"/>
        </w:rPr>
        <w:t xml:space="preserve"> Models on Urban Cooling in Milwaukee Using NASA Earth Observations</w:t>
      </w:r>
      <w:r>
        <w:rPr>
          <w:rFonts w:ascii="Garamond" w:eastAsia="Garamond" w:hAnsi="Garamond" w:cs="Garamond"/>
          <w:color w:val="000000"/>
          <w:highlight w:val="white"/>
        </w:rPr>
        <w:t xml:space="preserve"> [Unpublished Manuscript]. NASA DEVELOP National Program, Virtual Environmental Justice.</w:t>
      </w:r>
    </w:p>
    <w:p w14:paraId="2DA32B80" w14:textId="77777777" w:rsidR="0083004B" w:rsidRDefault="0083004B">
      <w:pPr>
        <w:spacing w:after="0" w:line="240" w:lineRule="auto"/>
        <w:ind w:left="720" w:hanging="720"/>
        <w:rPr>
          <w:rFonts w:ascii="Garamond" w:eastAsia="Garamond" w:hAnsi="Garamond" w:cs="Garamond"/>
          <w:color w:val="000000"/>
        </w:rPr>
      </w:pPr>
    </w:p>
    <w:p w14:paraId="2DA32B81" w14:textId="77777777" w:rsidR="0083004B" w:rsidRDefault="00E14A9E">
      <w:pPr>
        <w:spacing w:after="0" w:line="240" w:lineRule="auto"/>
        <w:rPr>
          <w:rFonts w:ascii="Garamond" w:eastAsia="Garamond" w:hAnsi="Garamond" w:cs="Garamond"/>
          <w:i/>
          <w:color w:val="000000"/>
          <w:highlight w:val="white"/>
        </w:rPr>
      </w:pPr>
      <w:r>
        <w:rPr>
          <w:rFonts w:ascii="Garamond" w:eastAsia="Garamond" w:hAnsi="Garamond" w:cs="Garamond"/>
          <w:color w:val="000000"/>
          <w:highlight w:val="white"/>
        </w:rPr>
        <w:t xml:space="preserve">Kessler, K., Gross, H., Larson, J., Nayak, A. (2023). </w:t>
      </w:r>
      <w:r>
        <w:rPr>
          <w:rFonts w:ascii="Garamond" w:eastAsia="Garamond" w:hAnsi="Garamond" w:cs="Garamond"/>
          <w:i/>
          <w:color w:val="000000"/>
          <w:highlight w:val="white"/>
        </w:rPr>
        <w:t xml:space="preserve">Portland Urban Development VEJ: Quantifying and Visualizing </w:t>
      </w:r>
    </w:p>
    <w:p w14:paraId="2DA32B82" w14:textId="77777777" w:rsidR="0083004B" w:rsidRDefault="00E14A9E">
      <w:pPr>
        <w:spacing w:after="0" w:line="240" w:lineRule="auto"/>
        <w:ind w:firstLine="720"/>
        <w:rPr>
          <w:rFonts w:ascii="Garamond" w:eastAsia="Garamond" w:hAnsi="Garamond" w:cs="Garamond"/>
          <w:color w:val="000000"/>
          <w:highlight w:val="white"/>
        </w:rPr>
      </w:pPr>
      <w:r>
        <w:rPr>
          <w:rFonts w:ascii="Garamond" w:eastAsia="Garamond" w:hAnsi="Garamond" w:cs="Garamond"/>
          <w:i/>
          <w:color w:val="000000"/>
          <w:highlight w:val="white"/>
        </w:rPr>
        <w:t xml:space="preserve">Urban Heat with Compounding Vulnerabilities to Support Community </w:t>
      </w:r>
      <w:proofErr w:type="spellStart"/>
      <w:r>
        <w:rPr>
          <w:rFonts w:ascii="Garamond" w:eastAsia="Garamond" w:hAnsi="Garamond" w:cs="Garamond"/>
          <w:i/>
          <w:color w:val="000000"/>
          <w:highlight w:val="white"/>
        </w:rPr>
        <w:t>Depaving</w:t>
      </w:r>
      <w:proofErr w:type="spellEnd"/>
      <w:r>
        <w:rPr>
          <w:rFonts w:ascii="Garamond" w:eastAsia="Garamond" w:hAnsi="Garamond" w:cs="Garamond"/>
          <w:i/>
          <w:color w:val="000000"/>
          <w:highlight w:val="white"/>
        </w:rPr>
        <w:t xml:space="preserve"> Initiatives </w:t>
      </w:r>
      <w:r>
        <w:rPr>
          <w:rFonts w:ascii="Garamond" w:eastAsia="Garamond" w:hAnsi="Garamond" w:cs="Garamond"/>
          <w:color w:val="000000"/>
          <w:highlight w:val="white"/>
        </w:rPr>
        <w:t xml:space="preserve">[Unpublished </w:t>
      </w:r>
    </w:p>
    <w:p w14:paraId="2DA32B83" w14:textId="77777777" w:rsidR="0083004B" w:rsidRDefault="00E14A9E">
      <w:pPr>
        <w:spacing w:after="0" w:line="240" w:lineRule="auto"/>
        <w:ind w:firstLine="720"/>
        <w:rPr>
          <w:rFonts w:ascii="Garamond" w:eastAsia="Garamond" w:hAnsi="Garamond" w:cs="Garamond"/>
          <w:color w:val="000000"/>
          <w:highlight w:val="white"/>
        </w:rPr>
      </w:pPr>
      <w:r>
        <w:rPr>
          <w:rFonts w:ascii="Garamond" w:eastAsia="Garamond" w:hAnsi="Garamond" w:cs="Garamond"/>
          <w:color w:val="000000"/>
          <w:highlight w:val="white"/>
        </w:rPr>
        <w:t>Manuscript]. NASA DEVELOP National Program, Virtual Environmental Justice.</w:t>
      </w:r>
    </w:p>
    <w:p w14:paraId="2DA32B84" w14:textId="77777777" w:rsidR="0083004B" w:rsidRDefault="0083004B">
      <w:pPr>
        <w:spacing w:after="0" w:line="240" w:lineRule="auto"/>
        <w:rPr>
          <w:rFonts w:ascii="Garamond" w:eastAsia="Garamond" w:hAnsi="Garamond" w:cs="Garamond"/>
          <w:color w:val="000000"/>
        </w:rPr>
      </w:pPr>
    </w:p>
    <w:p w14:paraId="2DA32B85" w14:textId="77777777" w:rsidR="0083004B" w:rsidRDefault="00E14A9E">
      <w:pPr>
        <w:spacing w:after="0" w:line="240" w:lineRule="auto"/>
        <w:ind w:left="720" w:hanging="720"/>
        <w:rPr>
          <w:rFonts w:ascii="Garamond" w:eastAsia="Garamond" w:hAnsi="Garamond" w:cs="Garamond"/>
          <w:color w:val="000000"/>
        </w:rPr>
      </w:pPr>
      <w:r>
        <w:rPr>
          <w:rFonts w:ascii="Garamond" w:eastAsia="Garamond" w:hAnsi="Garamond" w:cs="Garamond"/>
          <w:color w:val="000000"/>
        </w:rPr>
        <w:t xml:space="preserve">Kim, Y., Li, D., Xu, Y., Zhang, Y., Li, X., </w:t>
      </w:r>
      <w:proofErr w:type="spellStart"/>
      <w:r>
        <w:rPr>
          <w:rFonts w:ascii="Garamond" w:eastAsia="Garamond" w:hAnsi="Garamond" w:cs="Garamond"/>
          <w:color w:val="000000"/>
        </w:rPr>
        <w:t>Muhlenforth</w:t>
      </w:r>
      <w:proofErr w:type="spellEnd"/>
      <w:r>
        <w:rPr>
          <w:rFonts w:ascii="Garamond" w:eastAsia="Garamond" w:hAnsi="Garamond" w:cs="Garamond"/>
          <w:color w:val="000000"/>
        </w:rPr>
        <w:t xml:space="preserve">, L., Xue, S., &amp; Brown, R. (2023). Heat vulnerability and street-level outdoor thermal comfort in the City of Houston: Application of google street view image derived </w:t>
      </w:r>
      <w:proofErr w:type="spellStart"/>
      <w:r>
        <w:rPr>
          <w:rFonts w:ascii="Garamond" w:eastAsia="Garamond" w:hAnsi="Garamond" w:cs="Garamond"/>
          <w:color w:val="000000"/>
        </w:rPr>
        <w:t>svfs</w:t>
      </w:r>
      <w:proofErr w:type="spellEnd"/>
      <w:r>
        <w:rPr>
          <w:rFonts w:ascii="Garamond" w:eastAsia="Garamond" w:hAnsi="Garamond" w:cs="Garamond"/>
          <w:color w:val="000000"/>
        </w:rPr>
        <w:t xml:space="preserve">. </w:t>
      </w:r>
      <w:r>
        <w:rPr>
          <w:rFonts w:ascii="Garamond" w:eastAsia="Garamond" w:hAnsi="Garamond" w:cs="Garamond"/>
          <w:i/>
          <w:color w:val="000000"/>
        </w:rPr>
        <w:t>Urban Climate</w:t>
      </w:r>
      <w:r>
        <w:rPr>
          <w:rFonts w:ascii="Garamond" w:eastAsia="Garamond" w:hAnsi="Garamond" w:cs="Garamond"/>
          <w:color w:val="000000"/>
        </w:rPr>
        <w:t xml:space="preserve">, </w:t>
      </w:r>
      <w:r>
        <w:rPr>
          <w:rFonts w:ascii="Garamond" w:eastAsia="Garamond" w:hAnsi="Garamond" w:cs="Garamond"/>
          <w:i/>
          <w:color w:val="000000"/>
        </w:rPr>
        <w:t>51</w:t>
      </w:r>
      <w:r>
        <w:rPr>
          <w:rFonts w:ascii="Garamond" w:eastAsia="Garamond" w:hAnsi="Garamond" w:cs="Garamond"/>
          <w:color w:val="000000"/>
        </w:rPr>
        <w:t xml:space="preserve">, 101617. </w:t>
      </w:r>
      <w:hyperlink r:id="rId25">
        <w:r>
          <w:rPr>
            <w:rFonts w:ascii="Garamond" w:eastAsia="Garamond" w:hAnsi="Garamond" w:cs="Garamond"/>
            <w:color w:val="0563C1"/>
            <w:u w:val="single"/>
          </w:rPr>
          <w:t>https://doi.org/10.1016/j.uclim.2023.101617</w:t>
        </w:r>
      </w:hyperlink>
      <w:r>
        <w:rPr>
          <w:rFonts w:ascii="Garamond" w:eastAsia="Garamond" w:hAnsi="Garamond" w:cs="Garamond"/>
          <w:color w:val="000000"/>
        </w:rPr>
        <w:t xml:space="preserve"> </w:t>
      </w:r>
    </w:p>
    <w:p w14:paraId="2DA32B86" w14:textId="77777777" w:rsidR="0083004B" w:rsidRDefault="0083004B">
      <w:pPr>
        <w:spacing w:after="0" w:line="240" w:lineRule="auto"/>
        <w:rPr>
          <w:rFonts w:ascii="Garamond" w:eastAsia="Garamond" w:hAnsi="Garamond" w:cs="Garamond"/>
          <w:color w:val="000000"/>
        </w:rPr>
      </w:pPr>
    </w:p>
    <w:p w14:paraId="2DA32B87" w14:textId="77777777" w:rsidR="0083004B" w:rsidRDefault="00E14A9E">
      <w:pPr>
        <w:spacing w:after="0" w:line="240" w:lineRule="auto"/>
        <w:rPr>
          <w:rFonts w:ascii="Garamond" w:eastAsia="Garamond" w:hAnsi="Garamond" w:cs="Garamond"/>
          <w:color w:val="000000"/>
        </w:rPr>
      </w:pPr>
      <w:r>
        <w:rPr>
          <w:rFonts w:ascii="Garamond" w:eastAsia="Garamond" w:hAnsi="Garamond" w:cs="Garamond"/>
          <w:color w:val="000000"/>
          <w:highlight w:val="white"/>
        </w:rPr>
        <w:t xml:space="preserve">Kirsch, S., </w:t>
      </w:r>
      <w:proofErr w:type="spellStart"/>
      <w:r>
        <w:rPr>
          <w:rFonts w:ascii="Garamond" w:eastAsia="Garamond" w:hAnsi="Garamond" w:cs="Garamond"/>
          <w:color w:val="000000"/>
          <w:highlight w:val="white"/>
        </w:rPr>
        <w:t>Hocknell</w:t>
      </w:r>
      <w:proofErr w:type="spellEnd"/>
      <w:r>
        <w:rPr>
          <w:rFonts w:ascii="Garamond" w:eastAsia="Garamond" w:hAnsi="Garamond" w:cs="Garamond"/>
          <w:color w:val="000000"/>
          <w:highlight w:val="white"/>
        </w:rPr>
        <w:t xml:space="preserve">, J., Roseto, M., Tomlinson, C. (2024). </w:t>
      </w:r>
      <w:r>
        <w:rPr>
          <w:rFonts w:ascii="Garamond" w:eastAsia="Garamond" w:hAnsi="Garamond" w:cs="Garamond"/>
          <w:i/>
          <w:color w:val="000000"/>
          <w:highlight w:val="white"/>
        </w:rPr>
        <w:t xml:space="preserve">Bridgeport Urban Development MA: Leveraging NASA  </w:t>
      </w:r>
      <w:r>
        <w:tab/>
      </w:r>
      <w:r>
        <w:rPr>
          <w:rFonts w:ascii="Garamond" w:eastAsia="Garamond" w:hAnsi="Garamond" w:cs="Garamond"/>
          <w:i/>
          <w:color w:val="000000"/>
          <w:highlight w:val="white"/>
        </w:rPr>
        <w:t xml:space="preserve">Earth Observations and Sociodemographic Data to </w:t>
      </w:r>
      <w:proofErr w:type="spellStart"/>
      <w:r>
        <w:rPr>
          <w:rFonts w:ascii="Garamond" w:eastAsia="Garamond" w:hAnsi="Garamond" w:cs="Garamond"/>
          <w:i/>
          <w:color w:val="000000"/>
          <w:highlight w:val="white"/>
        </w:rPr>
        <w:t>Asssess</w:t>
      </w:r>
      <w:proofErr w:type="spellEnd"/>
      <w:r>
        <w:rPr>
          <w:rFonts w:ascii="Garamond" w:eastAsia="Garamond" w:hAnsi="Garamond" w:cs="Garamond"/>
          <w:i/>
          <w:color w:val="000000"/>
          <w:highlight w:val="white"/>
        </w:rPr>
        <w:t xml:space="preserve"> Urban Heat Vulnerability and Inform Cool Corridors </w:t>
      </w:r>
      <w:r>
        <w:tab/>
      </w:r>
      <w:r>
        <w:rPr>
          <w:rFonts w:ascii="Garamond" w:eastAsia="Garamond" w:hAnsi="Garamond" w:cs="Garamond"/>
          <w:i/>
          <w:color w:val="000000"/>
          <w:highlight w:val="white"/>
        </w:rPr>
        <w:t>in Bridgeport, Connecticut</w:t>
      </w:r>
      <w:r>
        <w:rPr>
          <w:rFonts w:ascii="Garamond" w:eastAsia="Garamond" w:hAnsi="Garamond" w:cs="Garamond"/>
          <w:color w:val="000000"/>
          <w:highlight w:val="white"/>
        </w:rPr>
        <w:t xml:space="preserve"> [Unpublished Manuscript]. NASA DEVELOP National </w:t>
      </w:r>
      <w:r>
        <w:tab/>
      </w:r>
      <w:r>
        <w:tab/>
      </w:r>
      <w:r>
        <w:tab/>
      </w:r>
      <w:r>
        <w:rPr>
          <w:rFonts w:ascii="Garamond" w:eastAsia="Garamond" w:hAnsi="Garamond" w:cs="Garamond"/>
          <w:color w:val="000000"/>
          <w:highlight w:val="white"/>
        </w:rPr>
        <w:t>Program, Massachusetts.</w:t>
      </w:r>
    </w:p>
    <w:p w14:paraId="2DA32B88" w14:textId="77777777" w:rsidR="0083004B" w:rsidRDefault="00E14A9E">
      <w:pPr>
        <w:spacing w:after="0" w:line="240" w:lineRule="auto"/>
        <w:ind w:left="720" w:hanging="720"/>
        <w:rPr>
          <w:rFonts w:ascii="Garamond" w:eastAsia="Garamond" w:hAnsi="Garamond" w:cs="Garamond"/>
          <w:color w:val="2980B9"/>
          <w:u w:val="single"/>
        </w:rPr>
      </w:pPr>
      <w:r>
        <w:rPr>
          <w:rFonts w:ascii="Garamond" w:eastAsia="Garamond" w:hAnsi="Garamond" w:cs="Garamond"/>
          <w:color w:val="000000"/>
        </w:rPr>
        <w:t xml:space="preserve">Lindberg, F. and </w:t>
      </w:r>
      <w:proofErr w:type="spellStart"/>
      <w:r>
        <w:rPr>
          <w:rFonts w:ascii="Garamond" w:eastAsia="Garamond" w:hAnsi="Garamond" w:cs="Garamond"/>
          <w:color w:val="000000"/>
        </w:rPr>
        <w:t>Grimmond</w:t>
      </w:r>
      <w:proofErr w:type="spellEnd"/>
      <w:r>
        <w:rPr>
          <w:rFonts w:ascii="Garamond" w:eastAsia="Garamond" w:hAnsi="Garamond" w:cs="Garamond"/>
          <w:color w:val="000000"/>
        </w:rPr>
        <w:t>, C. (2011) Nature of vegetation and building morphology characteristics across a city: Influence on shadow patterns and mean radiant temperatures in London. </w:t>
      </w:r>
      <w:hyperlink r:id="rId26">
        <w:r>
          <w:rPr>
            <w:rFonts w:ascii="Garamond" w:eastAsia="Garamond" w:hAnsi="Garamond" w:cs="Garamond"/>
            <w:color w:val="2980B9"/>
            <w:u w:val="single"/>
          </w:rPr>
          <w:t>Urban Ecosystems 14:4, 617-634.</w:t>
        </w:r>
      </w:hyperlink>
    </w:p>
    <w:p w14:paraId="2DA32B89" w14:textId="77777777" w:rsidR="0083004B" w:rsidRDefault="0083004B">
      <w:pPr>
        <w:spacing w:after="0" w:line="240" w:lineRule="auto"/>
        <w:ind w:left="720" w:hanging="720"/>
        <w:rPr>
          <w:rFonts w:ascii="Garamond" w:eastAsia="Garamond" w:hAnsi="Garamond" w:cs="Garamond"/>
          <w:color w:val="000000"/>
          <w:u w:val="single"/>
        </w:rPr>
      </w:pPr>
    </w:p>
    <w:p w14:paraId="2DA32B8A" w14:textId="77777777" w:rsidR="0083004B" w:rsidRDefault="00E14A9E">
      <w:pPr>
        <w:spacing w:after="0" w:line="240" w:lineRule="auto"/>
        <w:ind w:left="720" w:hanging="720"/>
        <w:rPr>
          <w:rFonts w:ascii="Garamond" w:eastAsia="Garamond" w:hAnsi="Garamond" w:cs="Garamond"/>
          <w:i/>
        </w:rPr>
      </w:pPr>
      <w:r>
        <w:rPr>
          <w:rFonts w:ascii="Garamond" w:eastAsia="Garamond" w:hAnsi="Garamond" w:cs="Garamond"/>
        </w:rPr>
        <w:t>Lindberg, F, </w:t>
      </w:r>
      <w:proofErr w:type="spellStart"/>
      <w:r>
        <w:rPr>
          <w:rFonts w:ascii="Garamond" w:eastAsia="Garamond" w:hAnsi="Garamond" w:cs="Garamond"/>
        </w:rPr>
        <w:t>Grimmond</w:t>
      </w:r>
      <w:proofErr w:type="spellEnd"/>
      <w:r>
        <w:rPr>
          <w:rFonts w:ascii="Garamond" w:eastAsia="Garamond" w:hAnsi="Garamond" w:cs="Garamond"/>
        </w:rPr>
        <w:t>, C., </w:t>
      </w:r>
      <w:proofErr w:type="spellStart"/>
      <w:r>
        <w:rPr>
          <w:rFonts w:ascii="Garamond" w:eastAsia="Garamond" w:hAnsi="Garamond" w:cs="Garamond"/>
        </w:rPr>
        <w:t>Gabey</w:t>
      </w:r>
      <w:proofErr w:type="spellEnd"/>
      <w:r>
        <w:rPr>
          <w:rFonts w:ascii="Garamond" w:eastAsia="Garamond" w:hAnsi="Garamond" w:cs="Garamond"/>
        </w:rPr>
        <w:t>, A., </w:t>
      </w:r>
      <w:proofErr w:type="spellStart"/>
      <w:r>
        <w:rPr>
          <w:rFonts w:ascii="Garamond" w:eastAsia="Garamond" w:hAnsi="Garamond" w:cs="Garamond"/>
        </w:rPr>
        <w:t>Jarvi</w:t>
      </w:r>
      <w:proofErr w:type="spellEnd"/>
      <w:r>
        <w:rPr>
          <w:rFonts w:ascii="Garamond" w:eastAsia="Garamond" w:hAnsi="Garamond" w:cs="Garamond"/>
        </w:rPr>
        <w:t>, L., Kent, C.W., </w:t>
      </w:r>
      <w:proofErr w:type="spellStart"/>
      <w:r>
        <w:rPr>
          <w:rFonts w:ascii="Garamond" w:eastAsia="Garamond" w:hAnsi="Garamond" w:cs="Garamond"/>
        </w:rPr>
        <w:t>Krave</w:t>
      </w:r>
      <w:proofErr w:type="spellEnd"/>
      <w:r>
        <w:rPr>
          <w:rFonts w:ascii="Garamond" w:eastAsia="Garamond" w:hAnsi="Garamond" w:cs="Garamond"/>
        </w:rPr>
        <w:t xml:space="preserve">, N., Sun, T., Wallenberg, N., &amp; Ward, H.C. (2019). </w:t>
      </w:r>
      <w:r>
        <w:rPr>
          <w:rFonts w:ascii="Garamond" w:eastAsia="Garamond" w:hAnsi="Garamond" w:cs="Garamond"/>
          <w:i/>
        </w:rPr>
        <w:t>Urban Multi-scale Environmental Predictor (UMEP) Manual University of Reading UK, University of Gothenburg Sweden, SIMS China. </w:t>
      </w:r>
      <w:hyperlink r:id="rId27">
        <w:r>
          <w:rPr>
            <w:rFonts w:ascii="Garamond" w:eastAsia="Garamond" w:hAnsi="Garamond" w:cs="Garamond"/>
            <w:i/>
            <w:color w:val="0563C1"/>
            <w:u w:val="single"/>
          </w:rPr>
          <w:t>https://umep-docs.readthedocs.io/</w:t>
        </w:r>
      </w:hyperlink>
    </w:p>
    <w:p w14:paraId="2DA32B8B" w14:textId="77777777" w:rsidR="0083004B" w:rsidRDefault="0083004B">
      <w:pPr>
        <w:spacing w:after="0" w:line="240" w:lineRule="auto"/>
        <w:rPr>
          <w:rFonts w:ascii="Garamond" w:eastAsia="Garamond" w:hAnsi="Garamond" w:cs="Garamond"/>
          <w:color w:val="000000"/>
        </w:rPr>
      </w:pPr>
    </w:p>
    <w:p w14:paraId="2DA32B8C" w14:textId="77777777" w:rsidR="0083004B" w:rsidRDefault="00E14A9E">
      <w:pPr>
        <w:spacing w:after="0" w:line="240" w:lineRule="auto"/>
        <w:ind w:left="720" w:hanging="720"/>
        <w:rPr>
          <w:rFonts w:ascii="Garamond" w:eastAsia="Garamond" w:hAnsi="Garamond" w:cs="Garamond"/>
          <w:color w:val="000000"/>
        </w:rPr>
      </w:pPr>
      <w:proofErr w:type="spellStart"/>
      <w:r>
        <w:rPr>
          <w:rFonts w:ascii="Garamond" w:eastAsia="Garamond" w:hAnsi="Garamond" w:cs="Garamond"/>
          <w:color w:val="000000"/>
        </w:rPr>
        <w:t>Manware</w:t>
      </w:r>
      <w:proofErr w:type="spellEnd"/>
      <w:r>
        <w:rPr>
          <w:rFonts w:ascii="Garamond" w:eastAsia="Garamond" w:hAnsi="Garamond" w:cs="Garamond"/>
          <w:color w:val="000000"/>
        </w:rPr>
        <w:t xml:space="preserve">, M., Dubrow, R., </w:t>
      </w:r>
      <w:proofErr w:type="spellStart"/>
      <w:r>
        <w:rPr>
          <w:rFonts w:ascii="Garamond" w:eastAsia="Garamond" w:hAnsi="Garamond" w:cs="Garamond"/>
          <w:color w:val="000000"/>
        </w:rPr>
        <w:t>Carrión</w:t>
      </w:r>
      <w:proofErr w:type="spellEnd"/>
      <w:r>
        <w:rPr>
          <w:rFonts w:ascii="Garamond" w:eastAsia="Garamond" w:hAnsi="Garamond" w:cs="Garamond"/>
          <w:color w:val="000000"/>
        </w:rPr>
        <w:t xml:space="preserve">, D., Ma, Y., &amp; Chen, K. (2022). Residential and race/ethnicity disparities in heat vulnerability in the United States. </w:t>
      </w:r>
      <w:proofErr w:type="spellStart"/>
      <w:r>
        <w:rPr>
          <w:rFonts w:ascii="Garamond" w:eastAsia="Garamond" w:hAnsi="Garamond" w:cs="Garamond"/>
          <w:i/>
          <w:color w:val="000000"/>
        </w:rPr>
        <w:t>GeoHealth</w:t>
      </w:r>
      <w:proofErr w:type="spellEnd"/>
      <w:r>
        <w:rPr>
          <w:rFonts w:ascii="Garamond" w:eastAsia="Garamond" w:hAnsi="Garamond" w:cs="Garamond"/>
          <w:color w:val="000000"/>
        </w:rPr>
        <w:t xml:space="preserve">, </w:t>
      </w:r>
      <w:r>
        <w:rPr>
          <w:rFonts w:ascii="Garamond" w:eastAsia="Garamond" w:hAnsi="Garamond" w:cs="Garamond"/>
          <w:i/>
          <w:color w:val="000000"/>
        </w:rPr>
        <w:t>6</w:t>
      </w:r>
      <w:r>
        <w:rPr>
          <w:rFonts w:ascii="Garamond" w:eastAsia="Garamond" w:hAnsi="Garamond" w:cs="Garamond"/>
          <w:color w:val="000000"/>
        </w:rPr>
        <w:t xml:space="preserve">(12). </w:t>
      </w:r>
      <w:hyperlink r:id="rId28">
        <w:r>
          <w:rPr>
            <w:rFonts w:ascii="Garamond" w:eastAsia="Garamond" w:hAnsi="Garamond" w:cs="Garamond"/>
            <w:color w:val="0563C1"/>
            <w:u w:val="single"/>
          </w:rPr>
          <w:t>https://doi.org/10.1029/2022gh000695</w:t>
        </w:r>
      </w:hyperlink>
      <w:r>
        <w:rPr>
          <w:rFonts w:ascii="Garamond" w:eastAsia="Garamond" w:hAnsi="Garamond" w:cs="Garamond"/>
          <w:color w:val="000000"/>
        </w:rPr>
        <w:t xml:space="preserve"> </w:t>
      </w:r>
    </w:p>
    <w:p w14:paraId="2DA32B8D" w14:textId="77777777" w:rsidR="0083004B" w:rsidRDefault="00E14A9E">
      <w:pPr>
        <w:pBdr>
          <w:top w:val="nil"/>
          <w:left w:val="nil"/>
          <w:bottom w:val="nil"/>
          <w:right w:val="nil"/>
          <w:between w:val="nil"/>
        </w:pBdr>
        <w:spacing w:line="240" w:lineRule="auto"/>
        <w:ind w:left="567" w:hanging="567"/>
        <w:rPr>
          <w:rFonts w:ascii="Garamond" w:eastAsia="Garamond" w:hAnsi="Garamond" w:cs="Garamond"/>
          <w:color w:val="000000"/>
        </w:rPr>
      </w:pPr>
      <w:r>
        <w:rPr>
          <w:rFonts w:ascii="Garamond" w:eastAsia="Garamond" w:hAnsi="Garamond" w:cs="Garamond"/>
          <w:color w:val="000000"/>
        </w:rPr>
        <w:lastRenderedPageBreak/>
        <w:t xml:space="preserve">Martin-Vide, J., </w:t>
      </w:r>
      <w:proofErr w:type="spellStart"/>
      <w:r>
        <w:rPr>
          <w:rFonts w:ascii="Garamond" w:eastAsia="Garamond" w:hAnsi="Garamond" w:cs="Garamond"/>
          <w:color w:val="000000"/>
        </w:rPr>
        <w:t>Sarricolea</w:t>
      </w:r>
      <w:proofErr w:type="spellEnd"/>
      <w:r>
        <w:rPr>
          <w:rFonts w:ascii="Garamond" w:eastAsia="Garamond" w:hAnsi="Garamond" w:cs="Garamond"/>
          <w:color w:val="000000"/>
        </w:rPr>
        <w:t xml:space="preserve">, P., &amp; Moreno-García, M. C. (2015). On the definition of urban heat island intensity: The “rural” reference. </w:t>
      </w:r>
      <w:r>
        <w:rPr>
          <w:rFonts w:ascii="Garamond" w:eastAsia="Garamond" w:hAnsi="Garamond" w:cs="Garamond"/>
          <w:i/>
          <w:color w:val="000000"/>
        </w:rPr>
        <w:t>Frontiers in Earth Science</w:t>
      </w:r>
      <w:r>
        <w:rPr>
          <w:rFonts w:ascii="Garamond" w:eastAsia="Garamond" w:hAnsi="Garamond" w:cs="Garamond"/>
          <w:color w:val="000000"/>
        </w:rPr>
        <w:t xml:space="preserve">, </w:t>
      </w:r>
      <w:r>
        <w:rPr>
          <w:rFonts w:ascii="Garamond" w:eastAsia="Garamond" w:hAnsi="Garamond" w:cs="Garamond"/>
          <w:i/>
          <w:color w:val="000000"/>
        </w:rPr>
        <w:t>3</w:t>
      </w:r>
      <w:r>
        <w:rPr>
          <w:rFonts w:ascii="Garamond" w:eastAsia="Garamond" w:hAnsi="Garamond" w:cs="Garamond"/>
          <w:color w:val="000000"/>
        </w:rPr>
        <w:t xml:space="preserve">. </w:t>
      </w:r>
      <w:hyperlink r:id="rId29">
        <w:r>
          <w:rPr>
            <w:rFonts w:ascii="Garamond" w:eastAsia="Garamond" w:hAnsi="Garamond" w:cs="Garamond"/>
            <w:color w:val="0563C1"/>
            <w:u w:val="single"/>
          </w:rPr>
          <w:t>https://doi.org/10.3389/feart.2015.00024</w:t>
        </w:r>
      </w:hyperlink>
    </w:p>
    <w:p w14:paraId="2DA32B8E" w14:textId="77777777" w:rsidR="0083004B" w:rsidRDefault="00E14A9E">
      <w:pPr>
        <w:spacing w:after="200" w:line="276" w:lineRule="auto"/>
        <w:ind w:left="720" w:hanging="720"/>
        <w:rPr>
          <w:rFonts w:ascii="Garamond" w:eastAsia="Garamond" w:hAnsi="Garamond" w:cs="Garamond"/>
          <w:color w:val="000000"/>
        </w:rPr>
      </w:pPr>
      <w:r>
        <w:rPr>
          <w:rFonts w:ascii="Garamond" w:eastAsia="Garamond" w:hAnsi="Garamond" w:cs="Garamond"/>
          <w:color w:val="000000"/>
        </w:rPr>
        <w:t xml:space="preserve">Maryland Department of the Environment; Scientific and Technical Working Group Maryland Commission on Climate Change. (2020). (rep.). </w:t>
      </w:r>
      <w:r>
        <w:rPr>
          <w:rFonts w:ascii="Garamond" w:eastAsia="Garamond" w:hAnsi="Garamond" w:cs="Garamond"/>
          <w:i/>
          <w:color w:val="000000"/>
        </w:rPr>
        <w:t>Comprehensive Assessment of Climate Change Impacts in Maryland</w:t>
      </w:r>
      <w:r>
        <w:rPr>
          <w:rFonts w:ascii="Garamond" w:eastAsia="Garamond" w:hAnsi="Garamond" w:cs="Garamond"/>
          <w:color w:val="000000"/>
        </w:rPr>
        <w:t xml:space="preserve"> (pp. 1–92). </w:t>
      </w:r>
    </w:p>
    <w:p w14:paraId="2DA32B8F" w14:textId="77777777" w:rsidR="0083004B" w:rsidRDefault="00E14A9E">
      <w:pPr>
        <w:spacing w:after="0" w:line="240" w:lineRule="auto"/>
        <w:ind w:left="720" w:hanging="720"/>
        <w:rPr>
          <w:rFonts w:ascii="Garamond" w:eastAsia="Garamond" w:hAnsi="Garamond" w:cs="Garamond"/>
          <w:color w:val="000000"/>
        </w:rPr>
      </w:pPr>
      <w:r>
        <w:rPr>
          <w:rFonts w:ascii="Garamond" w:eastAsia="Garamond" w:hAnsi="Garamond" w:cs="Garamond"/>
          <w:color w:val="000000"/>
        </w:rPr>
        <w:t xml:space="preserve">Maryland Geological Survey. (2024). </w:t>
      </w:r>
      <w:r>
        <w:rPr>
          <w:rFonts w:ascii="Garamond" w:eastAsia="Garamond" w:hAnsi="Garamond" w:cs="Garamond"/>
          <w:i/>
          <w:color w:val="000000"/>
        </w:rPr>
        <w:t>Geography fact sheets</w:t>
      </w:r>
      <w:r>
        <w:rPr>
          <w:rFonts w:ascii="Garamond" w:eastAsia="Garamond" w:hAnsi="Garamond" w:cs="Garamond"/>
          <w:color w:val="000000"/>
        </w:rPr>
        <w:t xml:space="preserve">. Maryland Geology. </w:t>
      </w:r>
      <w:hyperlink r:id="rId30">
        <w:r>
          <w:rPr>
            <w:rFonts w:ascii="Garamond" w:eastAsia="Garamond" w:hAnsi="Garamond" w:cs="Garamond"/>
            <w:color w:val="0563C1"/>
            <w:u w:val="single"/>
          </w:rPr>
          <w:t>http://www.mgs.md.gov/geology/</w:t>
        </w:r>
      </w:hyperlink>
    </w:p>
    <w:p w14:paraId="2DA32B90" w14:textId="77777777" w:rsidR="0083004B" w:rsidRDefault="00E14A9E">
      <w:pPr>
        <w:pBdr>
          <w:top w:val="nil"/>
          <w:left w:val="nil"/>
          <w:bottom w:val="nil"/>
          <w:right w:val="nil"/>
          <w:between w:val="nil"/>
        </w:pBdr>
        <w:spacing w:line="240" w:lineRule="auto"/>
        <w:ind w:left="567" w:hanging="567"/>
        <w:rPr>
          <w:rFonts w:ascii="Garamond" w:eastAsia="Garamond" w:hAnsi="Garamond" w:cs="Garamond"/>
          <w:color w:val="000000"/>
        </w:rPr>
      </w:pPr>
      <w:r>
        <w:rPr>
          <w:rFonts w:ascii="Garamond" w:eastAsia="Garamond" w:hAnsi="Garamond" w:cs="Garamond"/>
          <w:color w:val="000000"/>
        </w:rPr>
        <w:t xml:space="preserve">MDOT. (2024). </w:t>
      </w:r>
      <w:r>
        <w:rPr>
          <w:rFonts w:ascii="Garamond" w:eastAsia="Garamond" w:hAnsi="Garamond" w:cs="Garamond"/>
          <w:i/>
          <w:color w:val="000000"/>
        </w:rPr>
        <w:t>MTA Performance Improvement</w:t>
      </w:r>
      <w:r>
        <w:rPr>
          <w:rFonts w:ascii="Garamond" w:eastAsia="Garamond" w:hAnsi="Garamond" w:cs="Garamond"/>
          <w:color w:val="000000"/>
        </w:rPr>
        <w:t xml:space="preserve">. Maryland Transit Administration. </w:t>
      </w:r>
      <w:hyperlink r:id="rId31">
        <w:r>
          <w:rPr>
            <w:rFonts w:ascii="Garamond" w:eastAsia="Garamond" w:hAnsi="Garamond" w:cs="Garamond"/>
            <w:color w:val="0563C1"/>
            <w:u w:val="single"/>
          </w:rPr>
          <w:t>https://www.mta.maryland.gov/performance-improvement</w:t>
        </w:r>
      </w:hyperlink>
    </w:p>
    <w:p w14:paraId="2DA32B91" w14:textId="77777777" w:rsidR="0083004B" w:rsidRDefault="00E14A9E">
      <w:pPr>
        <w:spacing w:after="200" w:line="276" w:lineRule="auto"/>
        <w:ind w:left="720" w:hanging="720"/>
        <w:rPr>
          <w:rFonts w:ascii="Garamond" w:eastAsia="Garamond" w:hAnsi="Garamond" w:cs="Garamond"/>
          <w:color w:val="000000"/>
        </w:rPr>
      </w:pPr>
      <w:r>
        <w:rPr>
          <w:rFonts w:ascii="Garamond" w:eastAsia="Garamond" w:hAnsi="Garamond" w:cs="Garamond"/>
          <w:color w:val="000000"/>
        </w:rPr>
        <w:t xml:space="preserve">Nazarian, N., </w:t>
      </w:r>
      <w:proofErr w:type="spellStart"/>
      <w:r>
        <w:rPr>
          <w:rFonts w:ascii="Garamond" w:eastAsia="Garamond" w:hAnsi="Garamond" w:cs="Garamond"/>
          <w:color w:val="000000"/>
        </w:rPr>
        <w:t>Krayenhoff</w:t>
      </w:r>
      <w:proofErr w:type="spellEnd"/>
      <w:r>
        <w:rPr>
          <w:rFonts w:ascii="Garamond" w:eastAsia="Garamond" w:hAnsi="Garamond" w:cs="Garamond"/>
          <w:color w:val="000000"/>
        </w:rPr>
        <w:t xml:space="preserve">, E. S., Bechtel, B., </w:t>
      </w:r>
      <w:proofErr w:type="spellStart"/>
      <w:r>
        <w:rPr>
          <w:rFonts w:ascii="Garamond" w:eastAsia="Garamond" w:hAnsi="Garamond" w:cs="Garamond"/>
          <w:color w:val="000000"/>
        </w:rPr>
        <w:t>Hondula</w:t>
      </w:r>
      <w:proofErr w:type="spellEnd"/>
      <w:r>
        <w:rPr>
          <w:rFonts w:ascii="Garamond" w:eastAsia="Garamond" w:hAnsi="Garamond" w:cs="Garamond"/>
          <w:color w:val="000000"/>
        </w:rPr>
        <w:t xml:space="preserve">, D. M., </w:t>
      </w:r>
      <w:proofErr w:type="spellStart"/>
      <w:r>
        <w:rPr>
          <w:rFonts w:ascii="Garamond" w:eastAsia="Garamond" w:hAnsi="Garamond" w:cs="Garamond"/>
          <w:color w:val="000000"/>
        </w:rPr>
        <w:t>Paolini</w:t>
      </w:r>
      <w:proofErr w:type="spellEnd"/>
      <w:r>
        <w:rPr>
          <w:rFonts w:ascii="Garamond" w:eastAsia="Garamond" w:hAnsi="Garamond" w:cs="Garamond"/>
          <w:color w:val="000000"/>
        </w:rPr>
        <w:t xml:space="preserve">, R., </w:t>
      </w:r>
      <w:proofErr w:type="spellStart"/>
      <w:r>
        <w:rPr>
          <w:rFonts w:ascii="Garamond" w:eastAsia="Garamond" w:hAnsi="Garamond" w:cs="Garamond"/>
          <w:color w:val="000000"/>
        </w:rPr>
        <w:t>Vanos</w:t>
      </w:r>
      <w:proofErr w:type="spellEnd"/>
      <w:r>
        <w:rPr>
          <w:rFonts w:ascii="Garamond" w:eastAsia="Garamond" w:hAnsi="Garamond" w:cs="Garamond"/>
          <w:color w:val="000000"/>
        </w:rPr>
        <w:t xml:space="preserve">, J., Cheung, T., Chow, W. T., de Dear, R., Jay, O., Lee, J. K., </w:t>
      </w:r>
      <w:proofErr w:type="spellStart"/>
      <w:r>
        <w:rPr>
          <w:rFonts w:ascii="Garamond" w:eastAsia="Garamond" w:hAnsi="Garamond" w:cs="Garamond"/>
          <w:color w:val="000000"/>
        </w:rPr>
        <w:t>Martilli</w:t>
      </w:r>
      <w:proofErr w:type="spellEnd"/>
      <w:r>
        <w:rPr>
          <w:rFonts w:ascii="Garamond" w:eastAsia="Garamond" w:hAnsi="Garamond" w:cs="Garamond"/>
          <w:color w:val="000000"/>
        </w:rPr>
        <w:t xml:space="preserve">, A., </w:t>
      </w:r>
      <w:proofErr w:type="spellStart"/>
      <w:r>
        <w:rPr>
          <w:rFonts w:ascii="Garamond" w:eastAsia="Garamond" w:hAnsi="Garamond" w:cs="Garamond"/>
          <w:color w:val="000000"/>
        </w:rPr>
        <w:t>Middel</w:t>
      </w:r>
      <w:proofErr w:type="spellEnd"/>
      <w:r>
        <w:rPr>
          <w:rFonts w:ascii="Garamond" w:eastAsia="Garamond" w:hAnsi="Garamond" w:cs="Garamond"/>
          <w:color w:val="000000"/>
        </w:rPr>
        <w:t xml:space="preserve">, A., </w:t>
      </w:r>
      <w:proofErr w:type="spellStart"/>
      <w:r>
        <w:rPr>
          <w:rFonts w:ascii="Garamond" w:eastAsia="Garamond" w:hAnsi="Garamond" w:cs="Garamond"/>
          <w:color w:val="000000"/>
        </w:rPr>
        <w:t>Norford</w:t>
      </w:r>
      <w:proofErr w:type="spellEnd"/>
      <w:r>
        <w:rPr>
          <w:rFonts w:ascii="Garamond" w:eastAsia="Garamond" w:hAnsi="Garamond" w:cs="Garamond"/>
          <w:color w:val="000000"/>
        </w:rPr>
        <w:t xml:space="preserve">, L. K., Sadeghi, M., Schiavon, S., &amp; </w:t>
      </w:r>
      <w:proofErr w:type="spellStart"/>
      <w:r>
        <w:rPr>
          <w:rFonts w:ascii="Garamond" w:eastAsia="Garamond" w:hAnsi="Garamond" w:cs="Garamond"/>
          <w:color w:val="000000"/>
        </w:rPr>
        <w:t>Santamouris</w:t>
      </w:r>
      <w:proofErr w:type="spellEnd"/>
      <w:r>
        <w:rPr>
          <w:rFonts w:ascii="Garamond" w:eastAsia="Garamond" w:hAnsi="Garamond" w:cs="Garamond"/>
          <w:color w:val="000000"/>
        </w:rPr>
        <w:t xml:space="preserve">, M. (2022). Integrated assessment of urban overheating impacts on human life. </w:t>
      </w:r>
      <w:r>
        <w:rPr>
          <w:rFonts w:ascii="Garamond" w:eastAsia="Garamond" w:hAnsi="Garamond" w:cs="Garamond"/>
          <w:i/>
          <w:color w:val="000000"/>
        </w:rPr>
        <w:t>Earth’s Future</w:t>
      </w:r>
      <w:r>
        <w:rPr>
          <w:rFonts w:ascii="Garamond" w:eastAsia="Garamond" w:hAnsi="Garamond" w:cs="Garamond"/>
          <w:color w:val="000000"/>
        </w:rPr>
        <w:t xml:space="preserve">, </w:t>
      </w:r>
      <w:r>
        <w:rPr>
          <w:rFonts w:ascii="Garamond" w:eastAsia="Garamond" w:hAnsi="Garamond" w:cs="Garamond"/>
          <w:i/>
          <w:color w:val="000000"/>
        </w:rPr>
        <w:t>10</w:t>
      </w:r>
      <w:r>
        <w:rPr>
          <w:rFonts w:ascii="Garamond" w:eastAsia="Garamond" w:hAnsi="Garamond" w:cs="Garamond"/>
          <w:color w:val="000000"/>
        </w:rPr>
        <w:t xml:space="preserve">(8). </w:t>
      </w:r>
      <w:hyperlink r:id="rId32">
        <w:r>
          <w:rPr>
            <w:rFonts w:ascii="Garamond" w:eastAsia="Garamond" w:hAnsi="Garamond" w:cs="Garamond"/>
            <w:color w:val="0563C1"/>
            <w:u w:val="single"/>
          </w:rPr>
          <w:t>https://doi.org/10.1029/2022ef002682</w:t>
        </w:r>
      </w:hyperlink>
      <w:r>
        <w:rPr>
          <w:rFonts w:ascii="Garamond" w:eastAsia="Garamond" w:hAnsi="Garamond" w:cs="Garamond"/>
          <w:color w:val="000000"/>
        </w:rPr>
        <w:t xml:space="preserve"> </w:t>
      </w:r>
    </w:p>
    <w:p w14:paraId="2DA32B92" w14:textId="77777777" w:rsidR="0083004B" w:rsidRDefault="00E14A9E">
      <w:pPr>
        <w:spacing w:after="200" w:line="276" w:lineRule="auto"/>
        <w:ind w:left="720" w:hanging="720"/>
        <w:rPr>
          <w:rFonts w:ascii="Garamond" w:eastAsia="Garamond" w:hAnsi="Garamond" w:cs="Garamond"/>
          <w:color w:val="000000"/>
        </w:rPr>
      </w:pPr>
      <w:r>
        <w:rPr>
          <w:rFonts w:ascii="Garamond" w:eastAsia="Garamond" w:hAnsi="Garamond" w:cs="Garamond"/>
          <w:color w:val="000000"/>
        </w:rPr>
        <w:t xml:space="preserve">Nguyen, K.-A., &amp; </w:t>
      </w:r>
      <w:proofErr w:type="spellStart"/>
      <w:r>
        <w:rPr>
          <w:rFonts w:ascii="Garamond" w:eastAsia="Garamond" w:hAnsi="Garamond" w:cs="Garamond"/>
          <w:color w:val="000000"/>
        </w:rPr>
        <w:t>Liou</w:t>
      </w:r>
      <w:proofErr w:type="spellEnd"/>
      <w:r>
        <w:rPr>
          <w:rFonts w:ascii="Garamond" w:eastAsia="Garamond" w:hAnsi="Garamond" w:cs="Garamond"/>
          <w:color w:val="000000"/>
        </w:rPr>
        <w:t xml:space="preserve">, Y.-A. (2019). Mapping global eco-environment vulnerability due to human and nature disturbances. </w:t>
      </w:r>
      <w:proofErr w:type="spellStart"/>
      <w:r>
        <w:rPr>
          <w:rFonts w:ascii="Garamond" w:eastAsia="Garamond" w:hAnsi="Garamond" w:cs="Garamond"/>
          <w:i/>
          <w:color w:val="000000"/>
        </w:rPr>
        <w:t>MethodsX</w:t>
      </w:r>
      <w:proofErr w:type="spellEnd"/>
      <w:r>
        <w:rPr>
          <w:rFonts w:ascii="Garamond" w:eastAsia="Garamond" w:hAnsi="Garamond" w:cs="Garamond"/>
          <w:color w:val="000000"/>
        </w:rPr>
        <w:t xml:space="preserve">, </w:t>
      </w:r>
      <w:r>
        <w:rPr>
          <w:rFonts w:ascii="Garamond" w:eastAsia="Garamond" w:hAnsi="Garamond" w:cs="Garamond"/>
          <w:i/>
          <w:color w:val="000000"/>
        </w:rPr>
        <w:t>6</w:t>
      </w:r>
      <w:r>
        <w:rPr>
          <w:rFonts w:ascii="Garamond" w:eastAsia="Garamond" w:hAnsi="Garamond" w:cs="Garamond"/>
          <w:color w:val="000000"/>
        </w:rPr>
        <w:t xml:space="preserve">, 862–875. </w:t>
      </w:r>
      <w:hyperlink r:id="rId33">
        <w:r>
          <w:rPr>
            <w:rFonts w:ascii="Garamond" w:eastAsia="Garamond" w:hAnsi="Garamond" w:cs="Garamond"/>
            <w:color w:val="0563C1"/>
            <w:u w:val="single"/>
          </w:rPr>
          <w:t>https://doi.org/10.1016/j.mex.2019.03.023</w:t>
        </w:r>
      </w:hyperlink>
      <w:r>
        <w:rPr>
          <w:rFonts w:ascii="Garamond" w:eastAsia="Garamond" w:hAnsi="Garamond" w:cs="Garamond"/>
          <w:color w:val="000000"/>
        </w:rPr>
        <w:t xml:space="preserve"> </w:t>
      </w:r>
    </w:p>
    <w:p w14:paraId="2DA32B93" w14:textId="77777777" w:rsidR="0083004B" w:rsidRDefault="00E14A9E">
      <w:pPr>
        <w:spacing w:after="200" w:line="276" w:lineRule="auto"/>
        <w:ind w:left="720" w:hanging="720"/>
        <w:rPr>
          <w:rFonts w:ascii="Garamond" w:eastAsia="Garamond" w:hAnsi="Garamond" w:cs="Garamond"/>
          <w:color w:val="0563C1"/>
          <w:u w:val="single"/>
        </w:rPr>
      </w:pPr>
      <w:proofErr w:type="spellStart"/>
      <w:r>
        <w:rPr>
          <w:rFonts w:ascii="Garamond" w:eastAsia="Garamond" w:hAnsi="Garamond" w:cs="Garamond"/>
          <w:color w:val="000000"/>
        </w:rPr>
        <w:t>Niu</w:t>
      </w:r>
      <w:proofErr w:type="spellEnd"/>
      <w:r>
        <w:rPr>
          <w:rFonts w:ascii="Garamond" w:eastAsia="Garamond" w:hAnsi="Garamond" w:cs="Garamond"/>
          <w:color w:val="000000"/>
        </w:rPr>
        <w:t xml:space="preserve">, Y., Li, Z., Gao, Y., Liu, X., Xu, L., Vardoulakis, S., Yue, Y., Wang, J., &amp; Liu, Q. (2021). A systematic review of the development and validation of the heat vulnerability index: Major factors, methods, and spatial units. </w:t>
      </w:r>
      <w:r>
        <w:rPr>
          <w:rFonts w:ascii="Garamond" w:eastAsia="Garamond" w:hAnsi="Garamond" w:cs="Garamond"/>
          <w:i/>
          <w:color w:val="000000"/>
        </w:rPr>
        <w:t>Current Climate Change Reports</w:t>
      </w:r>
      <w:r>
        <w:rPr>
          <w:rFonts w:ascii="Garamond" w:eastAsia="Garamond" w:hAnsi="Garamond" w:cs="Garamond"/>
          <w:color w:val="000000"/>
        </w:rPr>
        <w:t xml:space="preserve">, </w:t>
      </w:r>
      <w:r>
        <w:rPr>
          <w:rFonts w:ascii="Garamond" w:eastAsia="Garamond" w:hAnsi="Garamond" w:cs="Garamond"/>
          <w:i/>
          <w:color w:val="000000"/>
        </w:rPr>
        <w:t>7</w:t>
      </w:r>
      <w:r>
        <w:rPr>
          <w:rFonts w:ascii="Garamond" w:eastAsia="Garamond" w:hAnsi="Garamond" w:cs="Garamond"/>
          <w:color w:val="000000"/>
        </w:rPr>
        <w:t xml:space="preserve">(3), 87–97. </w:t>
      </w:r>
      <w:hyperlink r:id="rId34">
        <w:r>
          <w:rPr>
            <w:color w:val="0563C1"/>
            <w:u w:val="single"/>
          </w:rPr>
          <w:t>https://doi.org/10.1007/s40641-021-00173-3</w:t>
        </w:r>
      </w:hyperlink>
    </w:p>
    <w:p w14:paraId="2DA32B94" w14:textId="77777777" w:rsidR="0083004B" w:rsidRDefault="00E14A9E">
      <w:pPr>
        <w:spacing w:after="200" w:line="276" w:lineRule="auto"/>
        <w:ind w:left="720" w:hanging="720"/>
        <w:rPr>
          <w:rFonts w:ascii="Garamond" w:eastAsia="Garamond" w:hAnsi="Garamond" w:cs="Garamond"/>
          <w:color w:val="000000"/>
        </w:rPr>
      </w:pPr>
      <w:r>
        <w:rPr>
          <w:rFonts w:ascii="Garamond" w:eastAsia="Garamond" w:hAnsi="Garamond" w:cs="Garamond"/>
          <w:color w:val="000000"/>
        </w:rPr>
        <w:t xml:space="preserve">Phillips de Lucas, A. K. (2020). Producing the “Highway to nowhere”: Social understandings of space in Baltimore, 1944-1974. </w:t>
      </w:r>
      <w:r>
        <w:rPr>
          <w:rFonts w:ascii="Garamond" w:eastAsia="Garamond" w:hAnsi="Garamond" w:cs="Garamond"/>
          <w:i/>
          <w:color w:val="000000"/>
        </w:rPr>
        <w:t>Engaging Science, Technology, and Society</w:t>
      </w:r>
      <w:r>
        <w:rPr>
          <w:rFonts w:ascii="Garamond" w:eastAsia="Garamond" w:hAnsi="Garamond" w:cs="Garamond"/>
          <w:color w:val="000000"/>
        </w:rPr>
        <w:t xml:space="preserve">, </w:t>
      </w:r>
      <w:r>
        <w:rPr>
          <w:rFonts w:ascii="Garamond" w:eastAsia="Garamond" w:hAnsi="Garamond" w:cs="Garamond"/>
          <w:i/>
          <w:color w:val="000000"/>
        </w:rPr>
        <w:t>6</w:t>
      </w:r>
      <w:r>
        <w:rPr>
          <w:rFonts w:ascii="Garamond" w:eastAsia="Garamond" w:hAnsi="Garamond" w:cs="Garamond"/>
          <w:color w:val="000000"/>
        </w:rPr>
        <w:t xml:space="preserve">, 351–369. </w:t>
      </w:r>
      <w:hyperlink r:id="rId35">
        <w:r>
          <w:rPr>
            <w:rFonts w:ascii="Garamond" w:eastAsia="Garamond" w:hAnsi="Garamond" w:cs="Garamond"/>
            <w:color w:val="0563C1"/>
            <w:u w:val="single"/>
          </w:rPr>
          <w:t>https://doi.org/10.17351/ests2020.327</w:t>
        </w:r>
      </w:hyperlink>
      <w:r>
        <w:rPr>
          <w:rFonts w:ascii="Garamond" w:eastAsia="Garamond" w:hAnsi="Garamond" w:cs="Garamond"/>
          <w:color w:val="000000"/>
        </w:rPr>
        <w:t xml:space="preserve"> </w:t>
      </w:r>
    </w:p>
    <w:p w14:paraId="2DA32B95" w14:textId="77777777" w:rsidR="0083004B" w:rsidRDefault="00E14A9E">
      <w:pPr>
        <w:pBdr>
          <w:top w:val="nil"/>
          <w:left w:val="nil"/>
          <w:bottom w:val="nil"/>
          <w:right w:val="nil"/>
          <w:between w:val="nil"/>
        </w:pBdr>
        <w:spacing w:line="240" w:lineRule="auto"/>
        <w:ind w:left="567" w:hanging="567"/>
        <w:rPr>
          <w:rFonts w:ascii="Garamond" w:eastAsia="Garamond" w:hAnsi="Garamond" w:cs="Garamond"/>
          <w:color w:val="000000"/>
        </w:rPr>
      </w:pPr>
      <w:r>
        <w:rPr>
          <w:rFonts w:ascii="Garamond" w:eastAsia="Garamond" w:hAnsi="Garamond" w:cs="Garamond"/>
          <w:color w:val="000000"/>
        </w:rPr>
        <w:t xml:space="preserve">Quinn Jr. , K., Plano, B., &amp; Calhoun, J. (2020). </w:t>
      </w:r>
      <w:r>
        <w:rPr>
          <w:rFonts w:ascii="Garamond" w:eastAsia="Garamond" w:hAnsi="Garamond" w:cs="Garamond"/>
          <w:i/>
          <w:color w:val="000000"/>
        </w:rPr>
        <w:t>MTA Office of Equal Opportunity Compliance Programs</w:t>
      </w:r>
      <w:r>
        <w:rPr>
          <w:rFonts w:ascii="Garamond" w:eastAsia="Garamond" w:hAnsi="Garamond" w:cs="Garamond"/>
          <w:color w:val="000000"/>
        </w:rPr>
        <w:t xml:space="preserve">. Maryland Transit Administration (MTA) 2020-2023 Title VI Implementation Program. </w:t>
      </w:r>
      <w:hyperlink r:id="rId36">
        <w:r>
          <w:rPr>
            <w:rFonts w:ascii="Garamond" w:eastAsia="Garamond" w:hAnsi="Garamond" w:cs="Garamond"/>
            <w:color w:val="0563C1"/>
            <w:u w:val="single"/>
          </w:rPr>
          <w:t>https://s3.amazonaws.com/mta-website-staging/mta-website-staging/files/Title%20VI/MTA_TitleVIProgram_2020-2023_05.15.2020.pdf</w:t>
        </w:r>
      </w:hyperlink>
    </w:p>
    <w:p w14:paraId="2DA32B96" w14:textId="77777777" w:rsidR="0083004B" w:rsidRDefault="00E14A9E">
      <w:pPr>
        <w:pBdr>
          <w:top w:val="nil"/>
          <w:left w:val="nil"/>
          <w:bottom w:val="nil"/>
          <w:right w:val="nil"/>
          <w:between w:val="nil"/>
        </w:pBdr>
        <w:spacing w:line="240" w:lineRule="auto"/>
        <w:ind w:left="567" w:hanging="567"/>
        <w:rPr>
          <w:rFonts w:ascii="Garamond" w:eastAsia="Garamond" w:hAnsi="Garamond" w:cs="Garamond"/>
          <w:color w:val="000000"/>
        </w:rPr>
      </w:pPr>
      <w:r>
        <w:rPr>
          <w:rFonts w:ascii="Garamond" w:eastAsia="Garamond" w:hAnsi="Garamond" w:cs="Garamond"/>
          <w:color w:val="000000"/>
        </w:rPr>
        <w:t xml:space="preserve">Reason Foundation, &amp; Moore, A. (2010, April 5). </w:t>
      </w:r>
      <w:r>
        <w:rPr>
          <w:rFonts w:ascii="Garamond" w:eastAsia="Garamond" w:hAnsi="Garamond" w:cs="Garamond"/>
          <w:i/>
          <w:color w:val="000000"/>
        </w:rPr>
        <w:t>Does bus transit reduce greenhouse gas emissions?</w:t>
      </w:r>
      <w:r>
        <w:rPr>
          <w:rFonts w:ascii="Garamond" w:eastAsia="Garamond" w:hAnsi="Garamond" w:cs="Garamond"/>
          <w:color w:val="000000"/>
        </w:rPr>
        <w:t xml:space="preserve">. Reason Foundation. </w:t>
      </w:r>
      <w:hyperlink r:id="rId37">
        <w:r>
          <w:rPr>
            <w:rFonts w:ascii="Garamond" w:eastAsia="Garamond" w:hAnsi="Garamond" w:cs="Garamond"/>
            <w:color w:val="0563C1"/>
            <w:u w:val="single"/>
          </w:rPr>
          <w:t>https://reason.org/commentary/does-bus-transit-reduce-greenhouse/</w:t>
        </w:r>
      </w:hyperlink>
    </w:p>
    <w:p w14:paraId="2DA32B97" w14:textId="77777777" w:rsidR="0083004B" w:rsidRDefault="00E14A9E">
      <w:pPr>
        <w:spacing w:after="0"/>
        <w:ind w:left="720" w:right="-20" w:hanging="720"/>
        <w:rPr>
          <w:rFonts w:ascii="Garamond" w:eastAsia="Garamond" w:hAnsi="Garamond" w:cs="Garamond"/>
          <w:color w:val="000000"/>
        </w:rPr>
      </w:pPr>
      <w:proofErr w:type="spellStart"/>
      <w:r>
        <w:rPr>
          <w:rFonts w:ascii="Garamond" w:eastAsia="Garamond" w:hAnsi="Garamond" w:cs="Garamond"/>
          <w:color w:val="000000"/>
        </w:rPr>
        <w:t>Schindelman</w:t>
      </w:r>
      <w:proofErr w:type="spellEnd"/>
      <w:r>
        <w:rPr>
          <w:rFonts w:ascii="Garamond" w:eastAsia="Garamond" w:hAnsi="Garamond" w:cs="Garamond"/>
          <w:color w:val="000000"/>
        </w:rPr>
        <w:t xml:space="preserve">, T., Culling, E., Mendez German, G., Chapman J. (2023). </w:t>
      </w:r>
      <w:r>
        <w:rPr>
          <w:rFonts w:ascii="Garamond" w:eastAsia="Garamond" w:hAnsi="Garamond" w:cs="Garamond"/>
          <w:i/>
          <w:color w:val="000000"/>
        </w:rPr>
        <w:t>New York City Transportation and Infrastructure: Assessing Urban Heat Island Effects at Bus Stops in New York City to Support Cooling Interventions</w:t>
      </w:r>
      <w:r>
        <w:rPr>
          <w:rFonts w:ascii="Garamond" w:eastAsia="Garamond" w:hAnsi="Garamond" w:cs="Garamond"/>
          <w:color w:val="000000"/>
        </w:rPr>
        <w:t xml:space="preserve"> [Unpublished Manuscript]. NASA DEVELOP National Program, Virtual Environmental Justice.</w:t>
      </w:r>
    </w:p>
    <w:p w14:paraId="2DA32B98" w14:textId="77777777" w:rsidR="0083004B" w:rsidRDefault="0083004B">
      <w:pPr>
        <w:spacing w:after="0" w:line="240" w:lineRule="auto"/>
        <w:rPr>
          <w:rFonts w:ascii="Garamond" w:eastAsia="Garamond" w:hAnsi="Garamond" w:cs="Garamond"/>
          <w:color w:val="000000"/>
        </w:rPr>
      </w:pPr>
    </w:p>
    <w:p w14:paraId="2DA32B99" w14:textId="77777777" w:rsidR="0083004B" w:rsidRDefault="00E14A9E">
      <w:pPr>
        <w:spacing w:after="0" w:line="240" w:lineRule="auto"/>
        <w:ind w:left="720" w:hanging="720"/>
        <w:rPr>
          <w:rFonts w:ascii="Garamond" w:eastAsia="Garamond" w:hAnsi="Garamond" w:cs="Garamond"/>
          <w:color w:val="000000"/>
        </w:rPr>
      </w:pPr>
      <w:r>
        <w:rPr>
          <w:rFonts w:ascii="Garamond" w:eastAsia="Garamond" w:hAnsi="Garamond" w:cs="Garamond"/>
          <w:color w:val="000000"/>
        </w:rPr>
        <w:t xml:space="preserve">Song, J., Yu, H., &amp; Lu, Y. (2021). Spatial-scale dependent risk factors of heat-related mortality: A multiscale geographically weighted regression analysis. </w:t>
      </w:r>
      <w:r>
        <w:rPr>
          <w:rFonts w:ascii="Garamond" w:eastAsia="Garamond" w:hAnsi="Garamond" w:cs="Garamond"/>
          <w:i/>
          <w:color w:val="000000"/>
        </w:rPr>
        <w:t>Sustainable Cities and Society</w:t>
      </w:r>
      <w:r>
        <w:rPr>
          <w:rFonts w:ascii="Garamond" w:eastAsia="Garamond" w:hAnsi="Garamond" w:cs="Garamond"/>
          <w:color w:val="000000"/>
        </w:rPr>
        <w:t xml:space="preserve">, </w:t>
      </w:r>
      <w:r>
        <w:rPr>
          <w:rFonts w:ascii="Garamond" w:eastAsia="Garamond" w:hAnsi="Garamond" w:cs="Garamond"/>
          <w:i/>
          <w:color w:val="000000"/>
        </w:rPr>
        <w:t>74</w:t>
      </w:r>
      <w:r>
        <w:rPr>
          <w:rFonts w:ascii="Garamond" w:eastAsia="Garamond" w:hAnsi="Garamond" w:cs="Garamond"/>
          <w:color w:val="000000"/>
        </w:rPr>
        <w:t xml:space="preserve">, 103159. </w:t>
      </w:r>
      <w:hyperlink r:id="rId38">
        <w:r>
          <w:rPr>
            <w:rFonts w:ascii="Garamond" w:eastAsia="Garamond" w:hAnsi="Garamond" w:cs="Garamond"/>
            <w:color w:val="0563C1"/>
            <w:u w:val="single"/>
          </w:rPr>
          <w:t>https://doi.org/10.1016/j.scs.2021.103159</w:t>
        </w:r>
      </w:hyperlink>
    </w:p>
    <w:p w14:paraId="2DA32B9A" w14:textId="77777777" w:rsidR="0083004B" w:rsidRDefault="0083004B">
      <w:pPr>
        <w:spacing w:after="0" w:line="240" w:lineRule="auto"/>
        <w:rPr>
          <w:rFonts w:ascii="Garamond" w:eastAsia="Garamond" w:hAnsi="Garamond" w:cs="Garamond"/>
          <w:color w:val="000000"/>
        </w:rPr>
      </w:pPr>
    </w:p>
    <w:p w14:paraId="2DA32B9B" w14:textId="77777777" w:rsidR="0083004B" w:rsidRDefault="00E14A9E">
      <w:pPr>
        <w:spacing w:after="0" w:line="240" w:lineRule="auto"/>
        <w:ind w:left="720" w:hanging="720"/>
        <w:rPr>
          <w:rFonts w:ascii="Garamond" w:eastAsia="Garamond" w:hAnsi="Garamond" w:cs="Garamond"/>
          <w:color w:val="000000"/>
        </w:rPr>
      </w:pPr>
      <w:proofErr w:type="spellStart"/>
      <w:r>
        <w:rPr>
          <w:rFonts w:ascii="Garamond" w:eastAsia="Garamond" w:hAnsi="Garamond" w:cs="Garamond"/>
          <w:color w:val="000000"/>
        </w:rPr>
        <w:t>Szagri</w:t>
      </w:r>
      <w:proofErr w:type="spellEnd"/>
      <w:r>
        <w:rPr>
          <w:rFonts w:ascii="Garamond" w:eastAsia="Garamond" w:hAnsi="Garamond" w:cs="Garamond"/>
          <w:color w:val="000000"/>
        </w:rPr>
        <w:t xml:space="preserve">, D., Nagy, B., &amp; </w:t>
      </w:r>
      <w:proofErr w:type="spellStart"/>
      <w:r>
        <w:rPr>
          <w:rFonts w:ascii="Garamond" w:eastAsia="Garamond" w:hAnsi="Garamond" w:cs="Garamond"/>
          <w:color w:val="000000"/>
        </w:rPr>
        <w:t>Szalay</w:t>
      </w:r>
      <w:proofErr w:type="spellEnd"/>
      <w:r>
        <w:rPr>
          <w:rFonts w:ascii="Garamond" w:eastAsia="Garamond" w:hAnsi="Garamond" w:cs="Garamond"/>
          <w:color w:val="000000"/>
        </w:rPr>
        <w:t xml:space="preserve">, Z. (2023). How can we predict where heatwaves will have an impact? – A literature review on Heat vulnerability indexes. </w:t>
      </w:r>
      <w:r>
        <w:rPr>
          <w:rFonts w:ascii="Garamond" w:eastAsia="Garamond" w:hAnsi="Garamond" w:cs="Garamond"/>
          <w:i/>
          <w:color w:val="000000"/>
        </w:rPr>
        <w:t>Urban Climate</w:t>
      </w:r>
      <w:r>
        <w:rPr>
          <w:rFonts w:ascii="Garamond" w:eastAsia="Garamond" w:hAnsi="Garamond" w:cs="Garamond"/>
          <w:color w:val="000000"/>
        </w:rPr>
        <w:t xml:space="preserve">, </w:t>
      </w:r>
      <w:r>
        <w:rPr>
          <w:rFonts w:ascii="Garamond" w:eastAsia="Garamond" w:hAnsi="Garamond" w:cs="Garamond"/>
          <w:i/>
          <w:color w:val="000000"/>
        </w:rPr>
        <w:t>52</w:t>
      </w:r>
      <w:r>
        <w:rPr>
          <w:rFonts w:ascii="Garamond" w:eastAsia="Garamond" w:hAnsi="Garamond" w:cs="Garamond"/>
          <w:color w:val="000000"/>
        </w:rPr>
        <w:t xml:space="preserve">, 101711. </w:t>
      </w:r>
      <w:hyperlink r:id="rId39">
        <w:r>
          <w:rPr>
            <w:rFonts w:ascii="Garamond" w:eastAsia="Garamond" w:hAnsi="Garamond" w:cs="Garamond"/>
            <w:color w:val="0563C1"/>
            <w:u w:val="single"/>
          </w:rPr>
          <w:t>https://doi.org/10.1016/j.uclim.2023.101711</w:t>
        </w:r>
      </w:hyperlink>
    </w:p>
    <w:p w14:paraId="2DA32B9C" w14:textId="77777777" w:rsidR="0083004B" w:rsidRDefault="0083004B">
      <w:pPr>
        <w:spacing w:after="0" w:line="240" w:lineRule="auto"/>
        <w:ind w:left="720" w:hanging="720"/>
        <w:rPr>
          <w:rFonts w:ascii="Garamond" w:eastAsia="Garamond" w:hAnsi="Garamond" w:cs="Garamond"/>
        </w:rPr>
      </w:pPr>
    </w:p>
    <w:p w14:paraId="2DA32B9D" w14:textId="77777777" w:rsidR="0083004B" w:rsidRDefault="00E14A9E">
      <w:pPr>
        <w:spacing w:after="0" w:line="240" w:lineRule="auto"/>
        <w:ind w:left="720" w:hanging="720"/>
        <w:rPr>
          <w:rFonts w:ascii="Garamond" w:eastAsia="Garamond" w:hAnsi="Garamond" w:cs="Garamond"/>
          <w:i/>
          <w:color w:val="000000"/>
        </w:rPr>
      </w:pPr>
      <w:r>
        <w:rPr>
          <w:rFonts w:ascii="Garamond" w:eastAsia="Garamond" w:hAnsi="Garamond" w:cs="Garamond"/>
          <w:color w:val="000000"/>
        </w:rPr>
        <w:lastRenderedPageBreak/>
        <w:t xml:space="preserve">U.S. Census Bureau. (2022). </w:t>
      </w:r>
      <w:r>
        <w:rPr>
          <w:rFonts w:ascii="Garamond" w:eastAsia="Garamond" w:hAnsi="Garamond" w:cs="Garamond"/>
          <w:i/>
          <w:color w:val="000000"/>
        </w:rPr>
        <w:t xml:space="preserve">U.S. Census Bureau </w:t>
      </w:r>
      <w:proofErr w:type="spellStart"/>
      <w:r>
        <w:rPr>
          <w:rFonts w:ascii="Garamond" w:eastAsia="Garamond" w:hAnsi="Garamond" w:cs="Garamond"/>
          <w:i/>
          <w:color w:val="000000"/>
        </w:rPr>
        <w:t>Quickfacts</w:t>
      </w:r>
      <w:proofErr w:type="spellEnd"/>
      <w:r>
        <w:rPr>
          <w:rFonts w:ascii="Garamond" w:eastAsia="Garamond" w:hAnsi="Garamond" w:cs="Garamond"/>
          <w:i/>
          <w:color w:val="000000"/>
        </w:rPr>
        <w:t>: Baltimore City, Maryland</w:t>
      </w:r>
      <w:r>
        <w:rPr>
          <w:rFonts w:ascii="Garamond" w:eastAsia="Garamond" w:hAnsi="Garamond" w:cs="Garamond"/>
          <w:color w:val="000000"/>
        </w:rPr>
        <w:t xml:space="preserve">. Population Estimates, July 1, 2022.  </w:t>
      </w:r>
    </w:p>
    <w:p w14:paraId="2DA32B9E" w14:textId="77777777" w:rsidR="0083004B" w:rsidRDefault="00E14A9E">
      <w:pPr>
        <w:spacing w:before="240" w:after="240" w:line="240" w:lineRule="auto"/>
        <w:ind w:left="567" w:hanging="567"/>
        <w:rPr>
          <w:rFonts w:ascii="Garamond" w:eastAsia="Garamond" w:hAnsi="Garamond" w:cs="Garamond"/>
        </w:rPr>
      </w:pPr>
      <w:r>
        <w:rPr>
          <w:rFonts w:ascii="Garamond" w:eastAsia="Garamond" w:hAnsi="Garamond" w:cs="Garamond"/>
        </w:rPr>
        <w:t>U.S. Geological Survey. (n.d.)</w:t>
      </w:r>
      <w:r>
        <w:rPr>
          <w:rFonts w:ascii="Garamond" w:eastAsia="Garamond" w:hAnsi="Garamond" w:cs="Garamond"/>
          <w:i/>
        </w:rPr>
        <w:t xml:space="preserve"> </w:t>
      </w:r>
      <w:r>
        <w:rPr>
          <w:rFonts w:ascii="Garamond" w:eastAsia="Garamond" w:hAnsi="Garamond" w:cs="Garamond"/>
        </w:rPr>
        <w:t xml:space="preserve">Landsat Normalized Difference Vegetation Index | U.S. Geological Survey. </w:t>
      </w:r>
      <w:hyperlink r:id="rId40" w:anchor="qt-science_support_page_related_con">
        <w:r>
          <w:rPr>
            <w:rFonts w:ascii="Garamond" w:eastAsia="Garamond" w:hAnsi="Garamond" w:cs="Garamond"/>
            <w:color w:val="0563C1"/>
            <w:u w:val="single"/>
          </w:rPr>
          <w:t>www.usgs.gov/landsat-missions/landsat-normalized-difference-vegetation-index?qt-science_support_page_related_con=0#qt-science_support_page_related_con</w:t>
        </w:r>
      </w:hyperlink>
      <w:r>
        <w:rPr>
          <w:rFonts w:ascii="Garamond" w:eastAsia="Garamond" w:hAnsi="Garamond" w:cs="Garamond"/>
        </w:rPr>
        <w:t xml:space="preserve">. </w:t>
      </w:r>
    </w:p>
    <w:p w14:paraId="2DA32B9F" w14:textId="77777777" w:rsidR="0083004B" w:rsidRDefault="00E14A9E">
      <w:pPr>
        <w:spacing w:before="240" w:after="240" w:line="240" w:lineRule="auto"/>
        <w:ind w:left="567" w:hanging="567"/>
        <w:rPr>
          <w:rFonts w:ascii="Garamond" w:eastAsia="Garamond" w:hAnsi="Garamond" w:cs="Garamond"/>
        </w:rPr>
      </w:pPr>
      <w:bookmarkStart w:id="0" w:name="_heading=h.gjdgxs" w:colFirst="0" w:colLast="0"/>
      <w:bookmarkEnd w:id="0"/>
      <w:r>
        <w:rPr>
          <w:rFonts w:ascii="Garamond" w:eastAsia="Garamond" w:hAnsi="Garamond" w:cs="Garamond"/>
        </w:rPr>
        <w:t>U.S. Geological Survey. (n.d.) USGS EROS Archive – Landsat Archives – Landsat 8-9 OLI/TIRS Collection 2 Level-2 Science Products.</w:t>
      </w:r>
      <w:r>
        <w:t xml:space="preserve"> </w:t>
      </w:r>
      <w:hyperlink r:id="rId41">
        <w:r>
          <w:rPr>
            <w:rFonts w:ascii="Garamond" w:eastAsia="Garamond" w:hAnsi="Garamond" w:cs="Garamond"/>
            <w:color w:val="0563C1"/>
            <w:u w:val="single"/>
          </w:rPr>
          <w:t>https://doi.org</w:t>
        </w:r>
      </w:hyperlink>
      <w:hyperlink r:id="rId42">
        <w:r>
          <w:rPr>
            <w:rFonts w:ascii="Garamond" w:eastAsia="Garamond" w:hAnsi="Garamond" w:cs="Garamond"/>
            <w:color w:val="0563C1"/>
            <w:highlight w:val="white"/>
            <w:u w:val="single"/>
          </w:rPr>
          <w:t>/10.5066/P9OGBGM6</w:t>
        </w:r>
      </w:hyperlink>
      <w:hyperlink r:id="rId43">
        <w:r>
          <w:rPr>
            <w:rFonts w:ascii="Garamond" w:eastAsia="Garamond" w:hAnsi="Garamond" w:cs="Garamond"/>
            <w:color w:val="0563C1"/>
            <w:u w:val="single"/>
          </w:rPr>
          <w:t>.</w:t>
        </w:r>
      </w:hyperlink>
      <w:r>
        <w:rPr>
          <w:rFonts w:ascii="Garamond" w:eastAsia="Garamond" w:hAnsi="Garamond" w:cs="Garamond"/>
        </w:rPr>
        <w:t xml:space="preserve"> </w:t>
      </w:r>
    </w:p>
    <w:p w14:paraId="2DA32BA0" w14:textId="77777777" w:rsidR="0083004B" w:rsidRDefault="00E14A9E">
      <w:pPr>
        <w:pBdr>
          <w:top w:val="nil"/>
          <w:left w:val="nil"/>
          <w:bottom w:val="nil"/>
          <w:right w:val="nil"/>
          <w:between w:val="nil"/>
        </w:pBdr>
        <w:spacing w:line="240" w:lineRule="auto"/>
        <w:ind w:left="567" w:hanging="567"/>
        <w:rPr>
          <w:rFonts w:ascii="Garamond" w:eastAsia="Garamond" w:hAnsi="Garamond" w:cs="Garamond"/>
          <w:color w:val="0563C1"/>
          <w:u w:val="single"/>
        </w:rPr>
      </w:pPr>
      <w:proofErr w:type="spellStart"/>
      <w:r>
        <w:rPr>
          <w:rFonts w:ascii="Garamond" w:eastAsia="Garamond" w:hAnsi="Garamond" w:cs="Garamond"/>
          <w:color w:val="000000"/>
        </w:rPr>
        <w:t>Veerkamp</w:t>
      </w:r>
      <w:proofErr w:type="spellEnd"/>
      <w:r>
        <w:rPr>
          <w:rFonts w:ascii="Garamond" w:eastAsia="Garamond" w:hAnsi="Garamond" w:cs="Garamond"/>
          <w:color w:val="000000"/>
        </w:rPr>
        <w:t xml:space="preserve">, C. J., Schipper, A. M., Hedlund, K., </w:t>
      </w:r>
      <w:proofErr w:type="spellStart"/>
      <w:r>
        <w:rPr>
          <w:rFonts w:ascii="Garamond" w:eastAsia="Garamond" w:hAnsi="Garamond" w:cs="Garamond"/>
          <w:color w:val="000000"/>
        </w:rPr>
        <w:t>Lazarova</w:t>
      </w:r>
      <w:proofErr w:type="spellEnd"/>
      <w:r>
        <w:rPr>
          <w:rFonts w:ascii="Garamond" w:eastAsia="Garamond" w:hAnsi="Garamond" w:cs="Garamond"/>
          <w:color w:val="000000"/>
        </w:rPr>
        <w:t xml:space="preserve">, T., </w:t>
      </w:r>
      <w:proofErr w:type="spellStart"/>
      <w:r>
        <w:rPr>
          <w:rFonts w:ascii="Garamond" w:eastAsia="Garamond" w:hAnsi="Garamond" w:cs="Garamond"/>
          <w:color w:val="000000"/>
        </w:rPr>
        <w:t>Nordin</w:t>
      </w:r>
      <w:proofErr w:type="spellEnd"/>
      <w:r>
        <w:rPr>
          <w:rFonts w:ascii="Garamond" w:eastAsia="Garamond" w:hAnsi="Garamond" w:cs="Garamond"/>
          <w:color w:val="000000"/>
        </w:rPr>
        <w:t xml:space="preserve">, A., &amp; Hanson, H. I. (2021). A review of studies assessing ecosystem services provided by Urban Green and Blue Infrastructure. </w:t>
      </w:r>
      <w:r>
        <w:rPr>
          <w:rFonts w:ascii="Garamond" w:eastAsia="Garamond" w:hAnsi="Garamond" w:cs="Garamond"/>
          <w:i/>
          <w:color w:val="000000"/>
        </w:rPr>
        <w:t>Ecosystem Services</w:t>
      </w:r>
      <w:r>
        <w:rPr>
          <w:rFonts w:ascii="Garamond" w:eastAsia="Garamond" w:hAnsi="Garamond" w:cs="Garamond"/>
          <w:color w:val="000000"/>
        </w:rPr>
        <w:t xml:space="preserve">, </w:t>
      </w:r>
      <w:r>
        <w:rPr>
          <w:rFonts w:ascii="Garamond" w:eastAsia="Garamond" w:hAnsi="Garamond" w:cs="Garamond"/>
          <w:i/>
          <w:color w:val="000000"/>
        </w:rPr>
        <w:t>52</w:t>
      </w:r>
      <w:r>
        <w:rPr>
          <w:rFonts w:ascii="Garamond" w:eastAsia="Garamond" w:hAnsi="Garamond" w:cs="Garamond"/>
          <w:color w:val="000000"/>
        </w:rPr>
        <w:t xml:space="preserve">, 101367. </w:t>
      </w:r>
      <w:hyperlink r:id="rId44">
        <w:r>
          <w:rPr>
            <w:rFonts w:ascii="Garamond" w:eastAsia="Garamond" w:hAnsi="Garamond" w:cs="Garamond"/>
            <w:color w:val="0563C1"/>
            <w:u w:val="single"/>
          </w:rPr>
          <w:t>https://doi.org/10.1016/j.ecoser.2021.101367</w:t>
        </w:r>
      </w:hyperlink>
    </w:p>
    <w:p w14:paraId="2DA32BA1" w14:textId="77777777" w:rsidR="0083004B" w:rsidRDefault="00E14A9E">
      <w:pPr>
        <w:pBdr>
          <w:top w:val="nil"/>
          <w:left w:val="nil"/>
          <w:bottom w:val="nil"/>
          <w:right w:val="nil"/>
          <w:between w:val="nil"/>
        </w:pBdr>
        <w:spacing w:line="240" w:lineRule="auto"/>
        <w:ind w:left="567" w:hanging="567"/>
        <w:rPr>
          <w:rFonts w:ascii="Garamond" w:eastAsia="Garamond" w:hAnsi="Garamond" w:cs="Garamond"/>
          <w:color w:val="000000"/>
          <w:sz w:val="20"/>
          <w:szCs w:val="20"/>
        </w:rPr>
      </w:pPr>
      <w:r>
        <w:rPr>
          <w:rFonts w:ascii="Garamond" w:eastAsia="Garamond" w:hAnsi="Garamond" w:cs="Garamond"/>
          <w:color w:val="000000"/>
        </w:rPr>
        <w:t xml:space="preserve">Wan, Z., Hook, S., </w:t>
      </w:r>
      <w:proofErr w:type="spellStart"/>
      <w:r>
        <w:rPr>
          <w:rFonts w:ascii="Garamond" w:eastAsia="Garamond" w:hAnsi="Garamond" w:cs="Garamond"/>
          <w:color w:val="000000"/>
        </w:rPr>
        <w:t>Hulley</w:t>
      </w:r>
      <w:proofErr w:type="spellEnd"/>
      <w:r>
        <w:rPr>
          <w:rFonts w:ascii="Garamond" w:eastAsia="Garamond" w:hAnsi="Garamond" w:cs="Garamond"/>
          <w:color w:val="000000"/>
        </w:rPr>
        <w:t xml:space="preserve">, G. (2021). </w:t>
      </w:r>
      <w:r>
        <w:rPr>
          <w:rFonts w:ascii="Garamond" w:eastAsia="Garamond" w:hAnsi="Garamond" w:cs="Garamond"/>
          <w:i/>
          <w:color w:val="000000"/>
        </w:rPr>
        <w:t>MODIS/Terra Land Surface Temperature/Emissivity 8-Day L3 Global 1km SIN Grid V061</w:t>
      </w:r>
      <w:r>
        <w:rPr>
          <w:rFonts w:ascii="Garamond" w:eastAsia="Garamond" w:hAnsi="Garamond" w:cs="Garamond"/>
          <w:color w:val="000000"/>
        </w:rPr>
        <w:t xml:space="preserve"> [Data set]. NASA EOSDIS Land Processes Distributed Active Archive Center. Accessed 2024-04-25 from </w:t>
      </w:r>
      <w:hyperlink r:id="rId45">
        <w:r>
          <w:rPr>
            <w:rFonts w:ascii="Garamond" w:eastAsia="Garamond" w:hAnsi="Garamond" w:cs="Garamond"/>
            <w:color w:val="0563C1"/>
            <w:u w:val="single"/>
          </w:rPr>
          <w:t>https://doi.org/10.5067/MODIS/MOD11A2.061</w:t>
        </w:r>
      </w:hyperlink>
    </w:p>
    <w:p w14:paraId="2DA32BA2" w14:textId="77777777" w:rsidR="0083004B" w:rsidRDefault="00E14A9E">
      <w:pPr>
        <w:spacing w:after="200" w:line="276" w:lineRule="auto"/>
        <w:ind w:left="720" w:hanging="720"/>
        <w:rPr>
          <w:rFonts w:ascii="Garamond" w:eastAsia="Garamond" w:hAnsi="Garamond" w:cs="Garamond"/>
          <w:color w:val="000000"/>
        </w:rPr>
      </w:pPr>
      <w:r>
        <w:rPr>
          <w:rFonts w:ascii="Garamond" w:eastAsia="Garamond" w:hAnsi="Garamond" w:cs="Garamond"/>
          <w:color w:val="000000"/>
        </w:rPr>
        <w:t xml:space="preserve">Wilson, B. (2020). Urban heat management and the legacy of Redlining. </w:t>
      </w:r>
      <w:r>
        <w:rPr>
          <w:rFonts w:ascii="Garamond" w:eastAsia="Garamond" w:hAnsi="Garamond" w:cs="Garamond"/>
          <w:i/>
          <w:color w:val="000000"/>
        </w:rPr>
        <w:t>Journal of the American Planning Association</w:t>
      </w:r>
      <w:r>
        <w:rPr>
          <w:rFonts w:ascii="Garamond" w:eastAsia="Garamond" w:hAnsi="Garamond" w:cs="Garamond"/>
          <w:color w:val="000000"/>
        </w:rPr>
        <w:t xml:space="preserve">, </w:t>
      </w:r>
      <w:r>
        <w:rPr>
          <w:rFonts w:ascii="Garamond" w:eastAsia="Garamond" w:hAnsi="Garamond" w:cs="Garamond"/>
          <w:i/>
          <w:color w:val="000000"/>
        </w:rPr>
        <w:t>86</w:t>
      </w:r>
      <w:r>
        <w:rPr>
          <w:rFonts w:ascii="Garamond" w:eastAsia="Garamond" w:hAnsi="Garamond" w:cs="Garamond"/>
          <w:color w:val="000000"/>
        </w:rPr>
        <w:t xml:space="preserve">(4), 443–457. </w:t>
      </w:r>
      <w:hyperlink r:id="rId46">
        <w:r>
          <w:rPr>
            <w:rFonts w:ascii="Garamond" w:eastAsia="Garamond" w:hAnsi="Garamond" w:cs="Garamond"/>
            <w:color w:val="0563C1"/>
            <w:u w:val="single"/>
          </w:rPr>
          <w:t>https://doi.org/10.1080/01944363.2020.1759127</w:t>
        </w:r>
      </w:hyperlink>
    </w:p>
    <w:p w14:paraId="2DA32BA3" w14:textId="77777777" w:rsidR="0083004B" w:rsidRDefault="0083004B">
      <w:pPr>
        <w:spacing w:after="0" w:line="240" w:lineRule="auto"/>
        <w:rPr>
          <w:rFonts w:ascii="Garamond" w:eastAsia="Garamond" w:hAnsi="Garamond" w:cs="Garamond"/>
          <w:color w:val="000000"/>
        </w:rPr>
      </w:pPr>
    </w:p>
    <w:p w14:paraId="2DA32BA4" w14:textId="77777777" w:rsidR="0083004B" w:rsidRDefault="0083004B">
      <w:pPr>
        <w:spacing w:after="0" w:line="240" w:lineRule="auto"/>
        <w:rPr>
          <w:rFonts w:ascii="Garamond" w:eastAsia="Garamond" w:hAnsi="Garamond" w:cs="Garamond"/>
          <w:color w:val="000000"/>
        </w:rPr>
      </w:pPr>
    </w:p>
    <w:p w14:paraId="2DA32BA5" w14:textId="77777777" w:rsidR="0083004B" w:rsidRDefault="0083004B">
      <w:pPr>
        <w:spacing w:after="0" w:line="240" w:lineRule="auto"/>
        <w:rPr>
          <w:rFonts w:ascii="Garamond" w:eastAsia="Garamond" w:hAnsi="Garamond" w:cs="Garamond"/>
          <w:color w:val="000000"/>
        </w:rPr>
      </w:pPr>
    </w:p>
    <w:p w14:paraId="2DA32BA6" w14:textId="77777777" w:rsidR="0083004B" w:rsidRDefault="0083004B">
      <w:pPr>
        <w:spacing w:after="0" w:line="240" w:lineRule="auto"/>
        <w:rPr>
          <w:rFonts w:ascii="Garamond" w:eastAsia="Garamond" w:hAnsi="Garamond" w:cs="Garamond"/>
          <w:color w:val="000000"/>
        </w:rPr>
      </w:pPr>
    </w:p>
    <w:p w14:paraId="2DA32BA7" w14:textId="77777777" w:rsidR="0083004B" w:rsidRDefault="0083004B">
      <w:pPr>
        <w:spacing w:after="0" w:line="240" w:lineRule="auto"/>
        <w:rPr>
          <w:rFonts w:ascii="Garamond" w:eastAsia="Garamond" w:hAnsi="Garamond" w:cs="Garamond"/>
          <w:color w:val="000000"/>
        </w:rPr>
      </w:pPr>
    </w:p>
    <w:p w14:paraId="2DA32BA8" w14:textId="77777777" w:rsidR="0083004B" w:rsidRDefault="0083004B">
      <w:pPr>
        <w:spacing w:after="0" w:line="240" w:lineRule="auto"/>
        <w:rPr>
          <w:rFonts w:ascii="Garamond" w:eastAsia="Garamond" w:hAnsi="Garamond" w:cs="Garamond"/>
          <w:color w:val="000000"/>
        </w:rPr>
      </w:pPr>
    </w:p>
    <w:p w14:paraId="2DA32BA9" w14:textId="77777777" w:rsidR="0083004B" w:rsidRDefault="0083004B">
      <w:pPr>
        <w:spacing w:after="0" w:line="240" w:lineRule="auto"/>
        <w:rPr>
          <w:rFonts w:ascii="Garamond" w:eastAsia="Garamond" w:hAnsi="Garamond" w:cs="Garamond"/>
          <w:color w:val="000000"/>
        </w:rPr>
      </w:pPr>
    </w:p>
    <w:p w14:paraId="2DA32BAA" w14:textId="77777777" w:rsidR="0083004B" w:rsidRDefault="0083004B">
      <w:pPr>
        <w:spacing w:after="0" w:line="240" w:lineRule="auto"/>
        <w:rPr>
          <w:rFonts w:ascii="Garamond" w:eastAsia="Garamond" w:hAnsi="Garamond" w:cs="Garamond"/>
          <w:color w:val="000000"/>
        </w:rPr>
      </w:pPr>
    </w:p>
    <w:p w14:paraId="2DA32BAB" w14:textId="77777777" w:rsidR="0083004B" w:rsidRDefault="0083004B">
      <w:pPr>
        <w:spacing w:after="0" w:line="240" w:lineRule="auto"/>
        <w:rPr>
          <w:rFonts w:ascii="Garamond" w:eastAsia="Garamond" w:hAnsi="Garamond" w:cs="Garamond"/>
          <w:color w:val="000000"/>
        </w:rPr>
      </w:pPr>
    </w:p>
    <w:p w14:paraId="2DA32BAC" w14:textId="77777777" w:rsidR="0083004B" w:rsidRDefault="0083004B">
      <w:pPr>
        <w:spacing w:after="0" w:line="240" w:lineRule="auto"/>
        <w:rPr>
          <w:rFonts w:ascii="Garamond" w:eastAsia="Garamond" w:hAnsi="Garamond" w:cs="Garamond"/>
          <w:color w:val="000000"/>
        </w:rPr>
      </w:pPr>
    </w:p>
    <w:p w14:paraId="2DA32BAD" w14:textId="77777777" w:rsidR="0083004B" w:rsidRDefault="0083004B">
      <w:pPr>
        <w:spacing w:after="0" w:line="240" w:lineRule="auto"/>
        <w:rPr>
          <w:rFonts w:ascii="Garamond" w:eastAsia="Garamond" w:hAnsi="Garamond" w:cs="Garamond"/>
          <w:color w:val="000000"/>
        </w:rPr>
      </w:pPr>
    </w:p>
    <w:p w14:paraId="2DA32BAE" w14:textId="77777777" w:rsidR="0083004B" w:rsidRDefault="0083004B">
      <w:pPr>
        <w:spacing w:after="0" w:line="240" w:lineRule="auto"/>
        <w:rPr>
          <w:rFonts w:ascii="Garamond" w:eastAsia="Garamond" w:hAnsi="Garamond" w:cs="Garamond"/>
          <w:color w:val="000000"/>
        </w:rPr>
      </w:pPr>
    </w:p>
    <w:p w14:paraId="2DA32BAF" w14:textId="77777777" w:rsidR="0083004B" w:rsidRDefault="0083004B">
      <w:pPr>
        <w:spacing w:after="0" w:line="240" w:lineRule="auto"/>
        <w:rPr>
          <w:rFonts w:ascii="Garamond" w:eastAsia="Garamond" w:hAnsi="Garamond" w:cs="Garamond"/>
          <w:color w:val="000000"/>
        </w:rPr>
      </w:pPr>
    </w:p>
    <w:p w14:paraId="2DA32BB0" w14:textId="77777777" w:rsidR="0083004B" w:rsidRDefault="0083004B">
      <w:pPr>
        <w:spacing w:after="0" w:line="240" w:lineRule="auto"/>
        <w:rPr>
          <w:rFonts w:ascii="Garamond" w:eastAsia="Garamond" w:hAnsi="Garamond" w:cs="Garamond"/>
          <w:color w:val="000000"/>
        </w:rPr>
      </w:pPr>
    </w:p>
    <w:p w14:paraId="2DA32BB1" w14:textId="77777777" w:rsidR="0083004B" w:rsidRDefault="0083004B">
      <w:pPr>
        <w:spacing w:after="0" w:line="240" w:lineRule="auto"/>
        <w:rPr>
          <w:rFonts w:ascii="Garamond" w:eastAsia="Garamond" w:hAnsi="Garamond" w:cs="Garamond"/>
          <w:color w:val="000000"/>
        </w:rPr>
      </w:pPr>
    </w:p>
    <w:p w14:paraId="2DA32BB2" w14:textId="77777777" w:rsidR="0083004B" w:rsidRDefault="0083004B">
      <w:pPr>
        <w:spacing w:after="0" w:line="240" w:lineRule="auto"/>
        <w:rPr>
          <w:rFonts w:ascii="Garamond" w:eastAsia="Garamond" w:hAnsi="Garamond" w:cs="Garamond"/>
          <w:color w:val="000000"/>
        </w:rPr>
      </w:pPr>
    </w:p>
    <w:p w14:paraId="2DA32BB3" w14:textId="77777777" w:rsidR="0083004B" w:rsidRDefault="0083004B">
      <w:pPr>
        <w:spacing w:after="0" w:line="240" w:lineRule="auto"/>
        <w:rPr>
          <w:rFonts w:ascii="Garamond" w:eastAsia="Garamond" w:hAnsi="Garamond" w:cs="Garamond"/>
          <w:color w:val="000000"/>
        </w:rPr>
      </w:pPr>
    </w:p>
    <w:p w14:paraId="2DA32BB4" w14:textId="77777777" w:rsidR="0083004B" w:rsidRDefault="0083004B">
      <w:pPr>
        <w:spacing w:after="0" w:line="240" w:lineRule="auto"/>
        <w:rPr>
          <w:rFonts w:ascii="Garamond" w:eastAsia="Garamond" w:hAnsi="Garamond" w:cs="Garamond"/>
          <w:color w:val="000000"/>
        </w:rPr>
      </w:pPr>
    </w:p>
    <w:p w14:paraId="2DA32BB5" w14:textId="77777777" w:rsidR="0083004B" w:rsidRDefault="0083004B">
      <w:pPr>
        <w:spacing w:after="0" w:line="240" w:lineRule="auto"/>
        <w:rPr>
          <w:rFonts w:ascii="Garamond" w:eastAsia="Garamond" w:hAnsi="Garamond" w:cs="Garamond"/>
          <w:color w:val="000000"/>
        </w:rPr>
      </w:pPr>
    </w:p>
    <w:p w14:paraId="2DA32BB6" w14:textId="77777777" w:rsidR="0083004B" w:rsidRDefault="0083004B">
      <w:pPr>
        <w:spacing w:after="0" w:line="240" w:lineRule="auto"/>
        <w:rPr>
          <w:rFonts w:ascii="Garamond" w:eastAsia="Garamond" w:hAnsi="Garamond" w:cs="Garamond"/>
          <w:color w:val="000000"/>
        </w:rPr>
      </w:pPr>
    </w:p>
    <w:p w14:paraId="2DA32BB7" w14:textId="77777777" w:rsidR="0083004B" w:rsidRDefault="0083004B">
      <w:pPr>
        <w:spacing w:after="0" w:line="240" w:lineRule="auto"/>
        <w:rPr>
          <w:rFonts w:ascii="Garamond" w:eastAsia="Garamond" w:hAnsi="Garamond" w:cs="Garamond"/>
          <w:color w:val="000000"/>
        </w:rPr>
      </w:pPr>
    </w:p>
    <w:p w14:paraId="2DA32BB8" w14:textId="77777777" w:rsidR="0083004B" w:rsidRDefault="0083004B">
      <w:pPr>
        <w:spacing w:after="0" w:line="240" w:lineRule="auto"/>
        <w:rPr>
          <w:rFonts w:ascii="Garamond" w:eastAsia="Garamond" w:hAnsi="Garamond" w:cs="Garamond"/>
          <w:color w:val="000000"/>
        </w:rPr>
      </w:pPr>
    </w:p>
    <w:p w14:paraId="2DA32BB9" w14:textId="77777777" w:rsidR="0083004B" w:rsidRDefault="0083004B">
      <w:pPr>
        <w:spacing w:after="0" w:line="240" w:lineRule="auto"/>
        <w:rPr>
          <w:rFonts w:ascii="Garamond" w:eastAsia="Garamond" w:hAnsi="Garamond" w:cs="Garamond"/>
          <w:color w:val="000000"/>
        </w:rPr>
      </w:pPr>
    </w:p>
    <w:p w14:paraId="2DA32BBA" w14:textId="77777777" w:rsidR="0083004B" w:rsidRDefault="0083004B">
      <w:pPr>
        <w:spacing w:after="0" w:line="240" w:lineRule="auto"/>
        <w:rPr>
          <w:rFonts w:ascii="Garamond" w:eastAsia="Garamond" w:hAnsi="Garamond" w:cs="Garamond"/>
          <w:color w:val="000000"/>
        </w:rPr>
      </w:pPr>
    </w:p>
    <w:p w14:paraId="2DA32BBB" w14:textId="77777777" w:rsidR="0083004B" w:rsidRDefault="0083004B">
      <w:pPr>
        <w:spacing w:after="0" w:line="240" w:lineRule="auto"/>
        <w:rPr>
          <w:rFonts w:ascii="Garamond" w:eastAsia="Garamond" w:hAnsi="Garamond" w:cs="Garamond"/>
          <w:color w:val="000000"/>
        </w:rPr>
      </w:pPr>
    </w:p>
    <w:p w14:paraId="2DA32BBC" w14:textId="77777777" w:rsidR="0083004B" w:rsidRDefault="0083004B">
      <w:pPr>
        <w:spacing w:after="0" w:line="240" w:lineRule="auto"/>
        <w:rPr>
          <w:rFonts w:ascii="Garamond" w:eastAsia="Garamond" w:hAnsi="Garamond" w:cs="Garamond"/>
          <w:color w:val="000000"/>
        </w:rPr>
      </w:pPr>
    </w:p>
    <w:p w14:paraId="2DA32BBD" w14:textId="77777777" w:rsidR="0083004B" w:rsidRDefault="0083004B">
      <w:pPr>
        <w:spacing w:after="0" w:line="240" w:lineRule="auto"/>
        <w:rPr>
          <w:rFonts w:ascii="Garamond" w:eastAsia="Garamond" w:hAnsi="Garamond" w:cs="Garamond"/>
          <w:color w:val="000000"/>
        </w:rPr>
      </w:pPr>
    </w:p>
    <w:p w14:paraId="2DA32BBE" w14:textId="77777777" w:rsidR="0083004B" w:rsidRDefault="0083004B">
      <w:pPr>
        <w:spacing w:after="0" w:line="240" w:lineRule="auto"/>
        <w:rPr>
          <w:rFonts w:ascii="Garamond" w:eastAsia="Garamond" w:hAnsi="Garamond" w:cs="Garamond"/>
          <w:color w:val="000000"/>
        </w:rPr>
      </w:pPr>
    </w:p>
    <w:p w14:paraId="2DA32BBF" w14:textId="77777777" w:rsidR="0083004B" w:rsidRDefault="0083004B">
      <w:pPr>
        <w:spacing w:after="0" w:line="240" w:lineRule="auto"/>
        <w:rPr>
          <w:rFonts w:ascii="Garamond" w:eastAsia="Garamond" w:hAnsi="Garamond" w:cs="Garamond"/>
          <w:color w:val="000000"/>
        </w:rPr>
      </w:pPr>
    </w:p>
    <w:p w14:paraId="2DA32BC0" w14:textId="77777777" w:rsidR="0083004B" w:rsidRDefault="0083004B">
      <w:pPr>
        <w:spacing w:after="0" w:line="240" w:lineRule="auto"/>
        <w:rPr>
          <w:rFonts w:ascii="Garamond" w:eastAsia="Garamond" w:hAnsi="Garamond" w:cs="Garamond"/>
          <w:color w:val="000000"/>
        </w:rPr>
      </w:pPr>
    </w:p>
    <w:p w14:paraId="2DA32BC1" w14:textId="77777777" w:rsidR="0083004B" w:rsidRDefault="00E14A9E">
      <w:pPr>
        <w:pStyle w:val="Heading1"/>
        <w:spacing w:before="0" w:line="240" w:lineRule="auto"/>
        <w:rPr>
          <w:rFonts w:ascii="Garamond" w:eastAsia="Garamond" w:hAnsi="Garamond" w:cs="Garamond"/>
          <w:b/>
          <w:color w:val="000000"/>
          <w:sz w:val="28"/>
          <w:szCs w:val="28"/>
        </w:rPr>
      </w:pPr>
      <w:r>
        <w:rPr>
          <w:rFonts w:ascii="Garamond" w:eastAsia="Garamond" w:hAnsi="Garamond" w:cs="Garamond"/>
          <w:b/>
          <w:color w:val="365F91"/>
          <w:sz w:val="28"/>
          <w:szCs w:val="28"/>
        </w:rPr>
        <w:lastRenderedPageBreak/>
        <w:t>9. Appendices</w:t>
      </w:r>
    </w:p>
    <w:p w14:paraId="2DA32BC2" w14:textId="77777777" w:rsidR="0083004B" w:rsidRDefault="00E14A9E">
      <w:pPr>
        <w:spacing w:after="0" w:line="240" w:lineRule="auto"/>
        <w:jc w:val="center"/>
        <w:rPr>
          <w:rFonts w:ascii="Garamond" w:eastAsia="Garamond" w:hAnsi="Garamond" w:cs="Garamond"/>
          <w:b/>
          <w:color w:val="000000"/>
          <w:sz w:val="24"/>
          <w:szCs w:val="24"/>
        </w:rPr>
      </w:pPr>
      <w:r>
        <w:rPr>
          <w:rFonts w:ascii="Garamond" w:eastAsia="Garamond" w:hAnsi="Garamond" w:cs="Garamond"/>
          <w:b/>
          <w:color w:val="000000"/>
          <w:sz w:val="24"/>
          <w:szCs w:val="24"/>
        </w:rPr>
        <w:t>Appendix A</w:t>
      </w:r>
    </w:p>
    <w:p w14:paraId="2DA32BC3" w14:textId="77777777" w:rsidR="0083004B" w:rsidRDefault="0083004B">
      <w:pPr>
        <w:spacing w:after="0" w:line="240" w:lineRule="auto"/>
        <w:rPr>
          <w:rFonts w:ascii="Garamond" w:eastAsia="Garamond" w:hAnsi="Garamond" w:cs="Garamond"/>
          <w:color w:val="000000"/>
        </w:rPr>
      </w:pPr>
    </w:p>
    <w:p w14:paraId="2DA32BC4" w14:textId="77777777" w:rsidR="0083004B" w:rsidRDefault="00E14A9E">
      <w:pPr>
        <w:pBdr>
          <w:top w:val="nil"/>
          <w:left w:val="nil"/>
          <w:bottom w:val="nil"/>
          <w:right w:val="nil"/>
          <w:between w:val="nil"/>
        </w:pBdr>
        <w:spacing w:after="0" w:line="240" w:lineRule="auto"/>
        <w:rPr>
          <w:rFonts w:ascii="Garamond" w:eastAsia="Garamond" w:hAnsi="Garamond" w:cs="Garamond"/>
          <w:b/>
          <w:color w:val="000000"/>
        </w:rPr>
      </w:pPr>
      <w:r>
        <w:rPr>
          <w:rFonts w:ascii="Garamond" w:eastAsia="Garamond" w:hAnsi="Garamond" w:cs="Garamond"/>
          <w:b/>
          <w:color w:val="000000"/>
        </w:rPr>
        <w:t>The Butterfly Effect</w:t>
      </w:r>
    </w:p>
    <w:p w14:paraId="2DA32BC5" w14:textId="77777777" w:rsidR="0083004B" w:rsidRDefault="00E14A9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Our mapping of environmental vulnerability in ArcGIS Pro yielded findings that align with the phenomenon known as the Butterfly Effect, as described in existing literature. This effect reflects historical legacies such as redlining, which led to the segregation of ethnic communities from predominantly white areas. Our analysis revealed that this historical segregation not only influences social vulnerability but also contributes significantly to heat vulnerability These findings underscore the importance of addressing social vulnerabilities in resilience efforts, as reducing social vulnerability correlates positively with reducing heat vulnerability.  </w:t>
      </w:r>
    </w:p>
    <w:p w14:paraId="2DA32BC6"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BC7" w14:textId="77777777" w:rsidR="0083004B" w:rsidRDefault="00E14A9E">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Within the city limits, our analysis uncovered finer inequities. For example, our visualization of the Normalized Difference Built-Up Index (NDBI) indicated a concentration of impervious surfaces in downtown Baltimore and its eastern and western regions, while northern Baltimore, characterized by higher concentrations of wealth and white populations, exhibited lower concentrations of impervious surfaces. This suggests that residents and commuters in northern Baltimore experience lower exposure to heat and possess higher adaptive capacities.</w:t>
      </w:r>
    </w:p>
    <w:p w14:paraId="2DA32BC8" w14:textId="77777777" w:rsidR="0083004B" w:rsidRDefault="0083004B">
      <w:pPr>
        <w:pBdr>
          <w:top w:val="nil"/>
          <w:left w:val="nil"/>
          <w:bottom w:val="nil"/>
          <w:right w:val="nil"/>
          <w:between w:val="nil"/>
        </w:pBdr>
        <w:spacing w:after="0" w:line="240" w:lineRule="auto"/>
        <w:rPr>
          <w:color w:val="000000"/>
        </w:rPr>
      </w:pPr>
    </w:p>
    <w:p w14:paraId="2DA32BC9" w14:textId="77777777" w:rsidR="0083004B" w:rsidRDefault="00E14A9E">
      <w:pPr>
        <w:pBdr>
          <w:top w:val="nil"/>
          <w:left w:val="nil"/>
          <w:bottom w:val="nil"/>
          <w:right w:val="nil"/>
          <w:between w:val="nil"/>
        </w:pBdr>
        <w:spacing w:after="0" w:line="240" w:lineRule="auto"/>
        <w:rPr>
          <w:color w:val="000000"/>
        </w:rPr>
      </w:pPr>
      <w:r>
        <w:rPr>
          <w:rFonts w:ascii="Garamond" w:eastAsia="Garamond" w:hAnsi="Garamond" w:cs="Garamond"/>
          <w:color w:val="000000"/>
        </w:rPr>
        <w:t>Our final bivariate visualization further supports these intra-cities heat spatial patterns and supports (Morgan State University’s) Dr. Lawrence Brown’s “black butterfly” effect, which illustrates the butterfly-shape of segregated black communities across the city’s east and west sides. Notably, both the eastern and western halves of the city exhibit high heat vulnerability scores and a high percentage of minority populations.</w:t>
      </w:r>
    </w:p>
    <w:p w14:paraId="2DA32BCA" w14:textId="77777777" w:rsidR="0083004B" w:rsidRDefault="00E14A9E">
      <w:pPr>
        <w:pBdr>
          <w:top w:val="nil"/>
          <w:left w:val="nil"/>
          <w:bottom w:val="nil"/>
          <w:right w:val="nil"/>
          <w:between w:val="nil"/>
        </w:pBdr>
        <w:spacing w:after="0" w:line="240" w:lineRule="auto"/>
        <w:rPr>
          <w:color w:val="000000"/>
        </w:rPr>
      </w:pPr>
      <w:r>
        <w:rPr>
          <w:rFonts w:ascii="Garamond" w:eastAsia="Garamond" w:hAnsi="Garamond" w:cs="Garamond"/>
          <w:color w:val="000000"/>
        </w:rPr>
        <w:t>These findings emphasize the imperative of incorporating equity considerations into heat studies and highlight the growing need to explore the intersections and hidden dimensions of climate change (Figure A1).</w:t>
      </w:r>
    </w:p>
    <w:p w14:paraId="2DA32BCB" w14:textId="77777777" w:rsidR="0083004B" w:rsidRDefault="0083004B">
      <w:pPr>
        <w:pBdr>
          <w:top w:val="nil"/>
          <w:left w:val="nil"/>
          <w:bottom w:val="nil"/>
          <w:right w:val="nil"/>
          <w:between w:val="nil"/>
        </w:pBdr>
        <w:spacing w:after="0" w:line="240" w:lineRule="auto"/>
        <w:rPr>
          <w:rFonts w:ascii="Garamond" w:eastAsia="Garamond" w:hAnsi="Garamond" w:cs="Garamond"/>
          <w:color w:val="000000"/>
        </w:rPr>
      </w:pPr>
    </w:p>
    <w:p w14:paraId="2DA32BCC" w14:textId="77777777" w:rsidR="0083004B" w:rsidRDefault="00E14A9E">
      <w:pPr>
        <w:spacing w:after="0" w:line="240" w:lineRule="auto"/>
        <w:jc w:val="center"/>
        <w:rPr>
          <w:rFonts w:ascii="Garamond" w:eastAsia="Garamond" w:hAnsi="Garamond" w:cs="Garamond"/>
          <w:color w:val="000000"/>
        </w:rPr>
      </w:pPr>
      <w:r>
        <w:rPr>
          <w:noProof/>
        </w:rPr>
        <w:lastRenderedPageBreak/>
        <w:drawing>
          <wp:inline distT="0" distB="0" distL="0" distR="0" wp14:anchorId="2DA32BDE" wp14:editId="2DA32BDF">
            <wp:extent cx="3924300" cy="4572000"/>
            <wp:effectExtent l="0" t="0" r="0" b="0"/>
            <wp:docPr id="1934501001" name="Picture 193450100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3924300" cy="4572000"/>
                    </a:xfrm>
                    <a:prstGeom prst="rect">
                      <a:avLst/>
                    </a:prstGeom>
                    <a:ln/>
                  </pic:spPr>
                </pic:pic>
              </a:graphicData>
            </a:graphic>
          </wp:inline>
        </w:drawing>
      </w:r>
    </w:p>
    <w:p w14:paraId="2DA32BCD" w14:textId="77777777" w:rsidR="0083004B" w:rsidRDefault="0083004B">
      <w:pPr>
        <w:spacing w:after="0" w:line="240" w:lineRule="auto"/>
        <w:rPr>
          <w:rFonts w:ascii="Garamond" w:eastAsia="Garamond" w:hAnsi="Garamond" w:cs="Garamond"/>
          <w:color w:val="000000"/>
        </w:rPr>
      </w:pPr>
    </w:p>
    <w:p w14:paraId="2DA32BCE" w14:textId="77777777" w:rsidR="0083004B" w:rsidRDefault="00E14A9E">
      <w:pPr>
        <w:pBdr>
          <w:top w:val="nil"/>
          <w:left w:val="nil"/>
          <w:bottom w:val="nil"/>
          <w:right w:val="nil"/>
          <w:between w:val="nil"/>
        </w:pBdr>
        <w:spacing w:after="0" w:line="240" w:lineRule="auto"/>
        <w:jc w:val="center"/>
        <w:rPr>
          <w:rFonts w:ascii="Garamond" w:eastAsia="Garamond" w:hAnsi="Garamond" w:cs="Garamond"/>
          <w:color w:val="000000"/>
        </w:rPr>
      </w:pPr>
      <w:r>
        <w:rPr>
          <w:rFonts w:ascii="Garamond" w:eastAsia="Garamond" w:hAnsi="Garamond" w:cs="Garamond"/>
          <w:i/>
          <w:color w:val="000000"/>
        </w:rPr>
        <w:t>Figure A1</w:t>
      </w:r>
      <w:r>
        <w:rPr>
          <w:rFonts w:ascii="Garamond" w:eastAsia="Garamond" w:hAnsi="Garamond" w:cs="Garamond"/>
          <w:color w:val="000000"/>
        </w:rPr>
        <w:t>. Bivariate Map of Baltimore, Maryland’s Heat Vulnerability Score and Percentage of Ethnic Minority between July to October from 2013 to 2013.</w:t>
      </w:r>
    </w:p>
    <w:p w14:paraId="2DA32BCF" w14:textId="77777777" w:rsidR="0083004B" w:rsidRDefault="0083004B">
      <w:pPr>
        <w:spacing w:after="0" w:line="240" w:lineRule="auto"/>
        <w:rPr>
          <w:rFonts w:ascii="Garamond" w:eastAsia="Garamond" w:hAnsi="Garamond" w:cs="Garamond"/>
          <w:color w:val="000000"/>
        </w:rPr>
      </w:pPr>
    </w:p>
    <w:sectPr w:rsidR="0083004B">
      <w:headerReference w:type="default" r:id="rId48"/>
      <w:footerReference w:type="default" r:id="rId49"/>
      <w:headerReference w:type="first" r:id="rId50"/>
      <w:footerReference w:type="first" r:id="rId5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0DFFF" w14:textId="77777777" w:rsidR="00D15C97" w:rsidRDefault="00D15C97">
      <w:pPr>
        <w:spacing w:after="0" w:line="240" w:lineRule="auto"/>
      </w:pPr>
      <w:r>
        <w:separator/>
      </w:r>
    </w:p>
  </w:endnote>
  <w:endnote w:type="continuationSeparator" w:id="0">
    <w:p w14:paraId="79F63907" w14:textId="77777777" w:rsidR="00D15C97" w:rsidRDefault="00D15C97">
      <w:pPr>
        <w:spacing w:after="0" w:line="240" w:lineRule="auto"/>
      </w:pPr>
      <w:r>
        <w:continuationSeparator/>
      </w:r>
    </w:p>
  </w:endnote>
  <w:endnote w:type="continuationNotice" w:id="1">
    <w:p w14:paraId="1545BBCA" w14:textId="77777777" w:rsidR="006E30DC" w:rsidRDefault="006E30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altName w:val="Cambria"/>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2BF3" w14:textId="438DA3B6" w:rsidR="0083004B" w:rsidRDefault="00E14A9E">
    <w:pPr>
      <w:pBdr>
        <w:top w:val="nil"/>
        <w:left w:val="nil"/>
        <w:bottom w:val="nil"/>
        <w:right w:val="nil"/>
        <w:between w:val="nil"/>
      </w:pBdr>
      <w:tabs>
        <w:tab w:val="center" w:pos="4680"/>
        <w:tab w:val="right" w:pos="9360"/>
      </w:tabs>
      <w:spacing w:after="0" w:line="240" w:lineRule="auto"/>
      <w:jc w:val="center"/>
      <w:rPr>
        <w:rFonts w:ascii="Garamond" w:eastAsia="Garamond" w:hAnsi="Garamond" w:cs="Garamond"/>
        <w:smallCaps/>
        <w:color w:val="000000"/>
      </w:rPr>
    </w:pPr>
    <w:r>
      <w:rPr>
        <w:rFonts w:ascii="Garamond" w:eastAsia="Garamond" w:hAnsi="Garamond" w:cs="Garamond"/>
        <w:smallCaps/>
        <w:color w:val="000000"/>
      </w:rPr>
      <w:fldChar w:fldCharType="begin"/>
    </w:r>
    <w:r>
      <w:rPr>
        <w:rFonts w:ascii="Garamond" w:eastAsia="Garamond" w:hAnsi="Garamond" w:cs="Garamond"/>
        <w:smallCaps/>
        <w:color w:val="000000"/>
      </w:rPr>
      <w:instrText>PAGE</w:instrText>
    </w:r>
    <w:r>
      <w:rPr>
        <w:rFonts w:ascii="Garamond" w:eastAsia="Garamond" w:hAnsi="Garamond" w:cs="Garamond"/>
        <w:smallCaps/>
        <w:color w:val="000000"/>
      </w:rPr>
      <w:fldChar w:fldCharType="separate"/>
    </w:r>
    <w:r>
      <w:rPr>
        <w:rFonts w:ascii="Garamond" w:eastAsia="Garamond" w:hAnsi="Garamond" w:cs="Garamond"/>
        <w:smallCaps/>
        <w:noProof/>
        <w:color w:val="000000"/>
      </w:rPr>
      <w:t>1</w:t>
    </w:r>
    <w:r>
      <w:rPr>
        <w:rFonts w:ascii="Garamond" w:eastAsia="Garamond" w:hAnsi="Garamond" w:cs="Garamond"/>
        <w:smallCaps/>
        <w:color w:val="000000"/>
      </w:rPr>
      <w:fldChar w:fldCharType="end"/>
    </w:r>
  </w:p>
  <w:p w14:paraId="2DA32BF4" w14:textId="77777777" w:rsidR="0083004B" w:rsidRDefault="0083004B">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2BFA" w14:textId="77777777" w:rsidR="0083004B" w:rsidRDefault="0083004B">
    <w:pPr>
      <w:widowControl w:val="0"/>
      <w:pBdr>
        <w:top w:val="nil"/>
        <w:left w:val="nil"/>
        <w:bottom w:val="nil"/>
        <w:right w:val="nil"/>
        <w:between w:val="nil"/>
      </w:pBdr>
      <w:spacing w:after="0" w:line="276" w:lineRule="auto"/>
      <w:rPr>
        <w:color w:val="000000"/>
      </w:rPr>
    </w:pPr>
  </w:p>
  <w:tbl>
    <w:tblPr>
      <w:tblW w:w="9360" w:type="dxa"/>
      <w:tblLayout w:type="fixed"/>
      <w:tblCellMar>
        <w:left w:w="115" w:type="dxa"/>
        <w:right w:w="115" w:type="dxa"/>
      </w:tblCellMar>
      <w:tblLook w:val="0600" w:firstRow="0" w:lastRow="0" w:firstColumn="0" w:lastColumn="0" w:noHBand="1" w:noVBand="1"/>
    </w:tblPr>
    <w:tblGrid>
      <w:gridCol w:w="3120"/>
      <w:gridCol w:w="3120"/>
      <w:gridCol w:w="3120"/>
    </w:tblGrid>
    <w:tr w:rsidR="0083004B" w14:paraId="2DA32BFE" w14:textId="77777777">
      <w:trPr>
        <w:trHeight w:val="300"/>
      </w:trPr>
      <w:tc>
        <w:tcPr>
          <w:tcW w:w="3120" w:type="dxa"/>
        </w:tcPr>
        <w:p w14:paraId="2DA32BFB" w14:textId="77777777" w:rsidR="0083004B" w:rsidRDefault="0083004B">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2DA32BFC" w14:textId="77777777" w:rsidR="0083004B" w:rsidRDefault="0083004B">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2DA32BFD" w14:textId="77777777" w:rsidR="0083004B" w:rsidRDefault="0083004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DA32BFF" w14:textId="77777777" w:rsidR="0083004B" w:rsidRDefault="0083004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73CD6" w14:textId="77777777" w:rsidR="00D15C97" w:rsidRDefault="00D15C97">
      <w:pPr>
        <w:spacing w:after="0" w:line="240" w:lineRule="auto"/>
      </w:pPr>
      <w:r>
        <w:separator/>
      </w:r>
    </w:p>
  </w:footnote>
  <w:footnote w:type="continuationSeparator" w:id="0">
    <w:p w14:paraId="05FF0EE3" w14:textId="77777777" w:rsidR="00D15C97" w:rsidRDefault="00D15C97">
      <w:pPr>
        <w:spacing w:after="0" w:line="240" w:lineRule="auto"/>
      </w:pPr>
      <w:r>
        <w:continuationSeparator/>
      </w:r>
    </w:p>
  </w:footnote>
  <w:footnote w:type="continuationNotice" w:id="1">
    <w:p w14:paraId="5F4A43F4" w14:textId="77777777" w:rsidR="006E30DC" w:rsidRDefault="006E30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2BED" w14:textId="77777777" w:rsidR="0083004B" w:rsidRDefault="0083004B">
    <w:pPr>
      <w:widowControl w:val="0"/>
      <w:pBdr>
        <w:top w:val="nil"/>
        <w:left w:val="nil"/>
        <w:bottom w:val="nil"/>
        <w:right w:val="nil"/>
        <w:between w:val="nil"/>
      </w:pBdr>
      <w:spacing w:after="0" w:line="276" w:lineRule="auto"/>
      <w:rPr>
        <w:rFonts w:ascii="Garamond" w:eastAsia="Garamond" w:hAnsi="Garamond" w:cs="Garamond"/>
        <w:color w:val="000000"/>
      </w:rPr>
    </w:pPr>
  </w:p>
  <w:tbl>
    <w:tblPr>
      <w:tblW w:w="9360" w:type="dxa"/>
      <w:tblLayout w:type="fixed"/>
      <w:tblCellMar>
        <w:left w:w="115" w:type="dxa"/>
        <w:right w:w="115" w:type="dxa"/>
      </w:tblCellMar>
      <w:tblLook w:val="0600" w:firstRow="0" w:lastRow="0" w:firstColumn="0" w:lastColumn="0" w:noHBand="1" w:noVBand="1"/>
    </w:tblPr>
    <w:tblGrid>
      <w:gridCol w:w="3120"/>
      <w:gridCol w:w="3120"/>
      <w:gridCol w:w="3120"/>
    </w:tblGrid>
    <w:tr w:rsidR="0083004B" w14:paraId="2DA32BF1" w14:textId="77777777">
      <w:trPr>
        <w:trHeight w:val="300"/>
      </w:trPr>
      <w:tc>
        <w:tcPr>
          <w:tcW w:w="3120" w:type="dxa"/>
        </w:tcPr>
        <w:p w14:paraId="2DA32BEE" w14:textId="77777777" w:rsidR="0083004B" w:rsidRDefault="0083004B">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2DA32BEF" w14:textId="77777777" w:rsidR="0083004B" w:rsidRDefault="0083004B">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2DA32BF0" w14:textId="77777777" w:rsidR="0083004B" w:rsidRDefault="0083004B">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DA32BF2" w14:textId="77777777" w:rsidR="0083004B" w:rsidRDefault="0083004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32BF5" w14:textId="77777777" w:rsidR="0083004B" w:rsidRDefault="00E14A9E">
    <w:pPr>
      <w:spacing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2DA32BF6" w14:textId="77777777" w:rsidR="0083004B" w:rsidRDefault="00E14A9E">
    <w:pPr>
      <w:spacing w:line="240" w:lineRule="auto"/>
      <w:jc w:val="right"/>
      <w:rPr>
        <w:rFonts w:ascii="Garamond" w:eastAsia="Garamond" w:hAnsi="Garamond" w:cs="Garamond"/>
        <w:b/>
        <w:sz w:val="32"/>
        <w:szCs w:val="32"/>
      </w:rPr>
    </w:pPr>
    <w:r>
      <w:rPr>
        <w:rFonts w:ascii="Garamond" w:eastAsia="Garamond" w:hAnsi="Garamond" w:cs="Garamond"/>
        <w:b/>
        <w:sz w:val="32"/>
        <w:szCs w:val="32"/>
      </w:rPr>
      <w:t>Maryland – Goddard</w:t>
    </w:r>
    <w:r>
      <w:rPr>
        <w:noProof/>
      </w:rPr>
      <w:drawing>
        <wp:anchor distT="0" distB="0" distL="114300" distR="114300" simplePos="0" relativeHeight="251658240" behindDoc="0" locked="0" layoutInCell="1" hidden="0" allowOverlap="1" wp14:anchorId="2DA32C00" wp14:editId="2DA32C01">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1934500993" name="Picture 1934500993"/>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2DA32BF7" w14:textId="77777777" w:rsidR="0083004B" w:rsidRDefault="00E14A9E">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Spring 2024</w:t>
    </w:r>
  </w:p>
  <w:p w14:paraId="2DA32BF8" w14:textId="77777777" w:rsidR="0083004B" w:rsidRDefault="0083004B">
    <w:pPr>
      <w:pBdr>
        <w:top w:val="nil"/>
        <w:left w:val="nil"/>
        <w:bottom w:val="nil"/>
        <w:right w:val="nil"/>
        <w:between w:val="nil"/>
      </w:pBdr>
      <w:tabs>
        <w:tab w:val="center" w:pos="4680"/>
        <w:tab w:val="right" w:pos="9360"/>
      </w:tabs>
      <w:spacing w:after="0" w:line="240" w:lineRule="auto"/>
      <w:rPr>
        <w:color w:val="000000"/>
      </w:rPr>
    </w:pPr>
  </w:p>
  <w:p w14:paraId="2DA32BF9" w14:textId="77777777" w:rsidR="0083004B" w:rsidRDefault="0083004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7D70E6"/>
    <w:multiLevelType w:val="multilevel"/>
    <w:tmpl w:val="FF6A120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1759209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04B"/>
    <w:rsid w:val="00036E63"/>
    <w:rsid w:val="000A7D3C"/>
    <w:rsid w:val="00130841"/>
    <w:rsid w:val="001529E9"/>
    <w:rsid w:val="001B65B5"/>
    <w:rsid w:val="00202157"/>
    <w:rsid w:val="00211A80"/>
    <w:rsid w:val="00237679"/>
    <w:rsid w:val="0026782E"/>
    <w:rsid w:val="00294AC3"/>
    <w:rsid w:val="003759D2"/>
    <w:rsid w:val="00442A2B"/>
    <w:rsid w:val="004445DD"/>
    <w:rsid w:val="004619EF"/>
    <w:rsid w:val="00493B06"/>
    <w:rsid w:val="004C0633"/>
    <w:rsid w:val="00502696"/>
    <w:rsid w:val="00576E1F"/>
    <w:rsid w:val="005E3870"/>
    <w:rsid w:val="005F5978"/>
    <w:rsid w:val="00647006"/>
    <w:rsid w:val="006A1460"/>
    <w:rsid w:val="006B3980"/>
    <w:rsid w:val="006E0DDE"/>
    <w:rsid w:val="006E30DC"/>
    <w:rsid w:val="00720BE0"/>
    <w:rsid w:val="007F38FF"/>
    <w:rsid w:val="00807F5E"/>
    <w:rsid w:val="0083004B"/>
    <w:rsid w:val="00870BA3"/>
    <w:rsid w:val="008A143F"/>
    <w:rsid w:val="008C33C0"/>
    <w:rsid w:val="008D76F2"/>
    <w:rsid w:val="00951B74"/>
    <w:rsid w:val="00987412"/>
    <w:rsid w:val="00994312"/>
    <w:rsid w:val="00A85A67"/>
    <w:rsid w:val="00AB17DD"/>
    <w:rsid w:val="00B20599"/>
    <w:rsid w:val="00B51E46"/>
    <w:rsid w:val="00B54C3A"/>
    <w:rsid w:val="00B54CAD"/>
    <w:rsid w:val="00BB73C6"/>
    <w:rsid w:val="00C07156"/>
    <w:rsid w:val="00C312F2"/>
    <w:rsid w:val="00C549ED"/>
    <w:rsid w:val="00CB51B9"/>
    <w:rsid w:val="00CC2305"/>
    <w:rsid w:val="00CC7EF2"/>
    <w:rsid w:val="00D15C97"/>
    <w:rsid w:val="00E14A9E"/>
    <w:rsid w:val="00E517EB"/>
    <w:rsid w:val="00E65F26"/>
    <w:rsid w:val="00E93148"/>
    <w:rsid w:val="04BBAAB1"/>
    <w:rsid w:val="1B659958"/>
    <w:rsid w:val="1BD6A8E9"/>
    <w:rsid w:val="1BDF5301"/>
    <w:rsid w:val="246A7F09"/>
    <w:rsid w:val="2AC315C0"/>
    <w:rsid w:val="2FC93CC9"/>
    <w:rsid w:val="3D43492F"/>
    <w:rsid w:val="40622517"/>
    <w:rsid w:val="42372066"/>
    <w:rsid w:val="427F62AE"/>
    <w:rsid w:val="4383B72F"/>
    <w:rsid w:val="43A3C94D"/>
    <w:rsid w:val="472CBF31"/>
    <w:rsid w:val="5BB1CA69"/>
    <w:rsid w:val="70018F68"/>
    <w:rsid w:val="7375387B"/>
    <w:rsid w:val="7492E6F1"/>
    <w:rsid w:val="798145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32990"/>
  <w15:docId w15:val="{C71B4F23-ABD5-4106-AC60-3E0288C73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4A3"/>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46EE6"/>
    <w:rPr>
      <w:b/>
      <w:bCs/>
    </w:rPr>
  </w:style>
  <w:style w:type="character" w:customStyle="1" w:styleId="CommentSubjectChar">
    <w:name w:val="Comment Subject Char"/>
    <w:basedOn w:val="CommentTextChar"/>
    <w:link w:val="CommentSubject"/>
    <w:uiPriority w:val="99"/>
    <w:semiHidden/>
    <w:rsid w:val="00C46EE6"/>
    <w:rPr>
      <w:b/>
      <w:bCs/>
      <w:sz w:val="20"/>
      <w:szCs w:val="20"/>
    </w:rPr>
  </w:style>
  <w:style w:type="paragraph" w:styleId="Revision">
    <w:name w:val="Revision"/>
    <w:hidden/>
    <w:uiPriority w:val="99"/>
    <w:semiHidden/>
    <w:rsid w:val="00C46EE6"/>
    <w:pPr>
      <w:spacing w:after="0" w:line="240" w:lineRule="auto"/>
    </w:pPr>
  </w:style>
  <w:style w:type="character" w:styleId="Mention">
    <w:name w:val="Mention"/>
    <w:basedOn w:val="DefaultParagraphFont"/>
    <w:uiPriority w:val="99"/>
    <w:unhideWhenUsed/>
    <w:rPr>
      <w:color w:val="2B579A"/>
      <w:shd w:val="clear" w:color="auto" w:fill="E6E6E6"/>
    </w:rPr>
  </w:style>
  <w:style w:type="character" w:styleId="Emphasis">
    <w:name w:val="Emphasis"/>
    <w:basedOn w:val="DefaultParagraphFont"/>
    <w:uiPriority w:val="20"/>
    <w:qFormat/>
    <w:rsid w:val="00784E21"/>
    <w:rPr>
      <w:i/>
      <w:iCs/>
    </w:rPr>
  </w:style>
  <w:style w:type="paragraph" w:styleId="Date">
    <w:name w:val="Date"/>
    <w:basedOn w:val="Normal"/>
    <w:next w:val="Normal"/>
    <w:link w:val="DateChar"/>
    <w:uiPriority w:val="99"/>
    <w:semiHidden/>
    <w:unhideWhenUsed/>
    <w:rsid w:val="00E83A5A"/>
  </w:style>
  <w:style w:type="character" w:customStyle="1" w:styleId="DateChar">
    <w:name w:val="Date Char"/>
    <w:basedOn w:val="DefaultParagraphFont"/>
    <w:link w:val="Date"/>
    <w:uiPriority w:val="99"/>
    <w:semiHidden/>
    <w:rsid w:val="00E83A5A"/>
  </w:style>
  <w:style w:type="character" w:styleId="FollowedHyperlink">
    <w:name w:val="FollowedHyperlink"/>
    <w:basedOn w:val="DefaultParagraphFont"/>
    <w:uiPriority w:val="99"/>
    <w:semiHidden/>
    <w:unhideWhenUsed/>
    <w:rsid w:val="000F13AE"/>
    <w:rPr>
      <w:color w:val="954F72" w:themeColor="followedHyperlink"/>
      <w:u w:val="single"/>
    </w:rPr>
  </w:style>
  <w:style w:type="character" w:styleId="UnresolvedMention">
    <w:name w:val="Unresolved Mention"/>
    <w:basedOn w:val="DefaultParagraphFont"/>
    <w:uiPriority w:val="99"/>
    <w:semiHidden/>
    <w:unhideWhenUsed/>
    <w:rsid w:val="008F1FB4"/>
    <w:rPr>
      <w:color w:val="605E5C"/>
      <w:shd w:val="clear" w:color="auto" w:fill="E1DFDD"/>
    </w:rPr>
  </w:style>
  <w:style w:type="paragraph" w:styleId="NormalWeb">
    <w:name w:val="Normal (Web)"/>
    <w:basedOn w:val="Normal"/>
    <w:uiPriority w:val="99"/>
    <w:unhideWhenUsed/>
    <w:rsid w:val="00C949FE"/>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highlighted">
    <w:name w:val="highlighted"/>
    <w:basedOn w:val="DefaultParagraphFont"/>
    <w:rsid w:val="00CC45F0"/>
  </w:style>
  <w:style w:type="character" w:customStyle="1" w:styleId="jpfdse">
    <w:name w:val="jpfdse"/>
    <w:basedOn w:val="DefaultParagraphFont"/>
    <w:rsid w:val="00C23479"/>
  </w:style>
  <w:style w:type="character" w:styleId="Strong">
    <w:name w:val="Strong"/>
    <w:basedOn w:val="DefaultParagraphFont"/>
    <w:uiPriority w:val="22"/>
    <w:qFormat/>
    <w:rsid w:val="00A525E0"/>
    <w:rPr>
      <w:b/>
      <w:bCs/>
    </w:rPr>
  </w:style>
  <w:style w:type="character" w:styleId="PlaceholderText">
    <w:name w:val="Placeholder Text"/>
    <w:basedOn w:val="DefaultParagraphFont"/>
    <w:uiPriority w:val="99"/>
    <w:semiHidden/>
    <w:rsid w:val="004B4E9F"/>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doi.org/10.1080/24694452.2017.1365585" TargetMode="External"/><Relationship Id="rId26" Type="http://schemas.openxmlformats.org/officeDocument/2006/relationships/hyperlink" Target="https://link.springer.com/article/10.1007/s11252-011-0184-5" TargetMode="External"/><Relationship Id="rId39" Type="http://schemas.openxmlformats.org/officeDocument/2006/relationships/hyperlink" Target="https://doi.org/10.1016/j.uclim.2023.101711" TargetMode="External"/><Relationship Id="rId21" Type="http://schemas.openxmlformats.org/officeDocument/2006/relationships/hyperlink" Target="https://doi.org/10.1038/s41467-021-22799-5" TargetMode="External"/><Relationship Id="rId34" Type="http://schemas.openxmlformats.org/officeDocument/2006/relationships/hyperlink" Target="https://doi.org/10.1007/s40641-021-00173-3" TargetMode="External"/><Relationship Id="rId42" Type="http://schemas.openxmlformats.org/officeDocument/2006/relationships/hyperlink" Target="https://doi.org/10.5066/P9OGBGM6" TargetMode="External"/><Relationship Id="rId47" Type="http://schemas.openxmlformats.org/officeDocument/2006/relationships/image" Target="media/image8.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phtracking.cdc.gov/" TargetMode="External"/><Relationship Id="rId29" Type="http://schemas.openxmlformats.org/officeDocument/2006/relationships/hyperlink" Target="https://doi.org/10.3389/feart.2015.00024" TargetMode="External"/><Relationship Id="rId11" Type="http://schemas.openxmlformats.org/officeDocument/2006/relationships/image" Target="media/image4.png"/><Relationship Id="rId24" Type="http://schemas.openxmlformats.org/officeDocument/2006/relationships/hyperlink" Target="https://doi.org/10.1007/s11113-020-09631-6" TargetMode="External"/><Relationship Id="rId32" Type="http://schemas.openxmlformats.org/officeDocument/2006/relationships/hyperlink" Target="https://doi.org/10.1029/2022ef002682" TargetMode="External"/><Relationship Id="rId37" Type="http://schemas.openxmlformats.org/officeDocument/2006/relationships/hyperlink" Target="https://reason.org/commentary/does-bus-transit-reduce-greenhouse/" TargetMode="External"/><Relationship Id="rId40" Type="http://schemas.openxmlformats.org/officeDocument/2006/relationships/hyperlink" Target="http://www.usgs.gov/landsat-missions/landsat-normalized-difference-vegetation-index?qt-science_support_page_related_con=0" TargetMode="External"/><Relationship Id="rId45" Type="http://schemas.openxmlformats.org/officeDocument/2006/relationships/hyperlink" Target="https://doi.org/10.5067/MODIS/MOD11A2.061"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doi.org/10.1016/j.socscimed.2006.07.030" TargetMode="External"/><Relationship Id="rId31" Type="http://schemas.openxmlformats.org/officeDocument/2006/relationships/hyperlink" Target="https://www.mta.maryland.gov/performance-improvement" TargetMode="External"/><Relationship Id="rId44" Type="http://schemas.openxmlformats.org/officeDocument/2006/relationships/hyperlink" Target="https://doi.org/10.1016/j.ecoser.2021.10136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pcc.ch/report/ar6/wg1/downloads/report/IPCC_AR6_WGI_Chapter11.pdf" TargetMode="External"/><Relationship Id="rId27" Type="http://schemas.openxmlformats.org/officeDocument/2006/relationships/hyperlink" Target="https://umep-docs.readthedocs.io/" TargetMode="External"/><Relationship Id="rId30" Type="http://schemas.openxmlformats.org/officeDocument/2006/relationships/hyperlink" Target="http://www.mgs.md.gov/geology/" TargetMode="External"/><Relationship Id="rId35" Type="http://schemas.openxmlformats.org/officeDocument/2006/relationships/hyperlink" Target="https://doi.org/10.17351/ests2020.327" TargetMode="External"/><Relationship Id="rId43" Type="http://schemas.openxmlformats.org/officeDocument/2006/relationships/hyperlink" Target="https://doi.org/10.5066/P9OGBGM6"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s://www.sciencedirect.com/science/article/pii/S0048969721044910?via%3Dihub" TargetMode="External"/><Relationship Id="rId25" Type="http://schemas.openxmlformats.org/officeDocument/2006/relationships/hyperlink" Target="https://doi.org/10.1016/j.uclim.2023.101617" TargetMode="External"/><Relationship Id="rId33" Type="http://schemas.openxmlformats.org/officeDocument/2006/relationships/hyperlink" Target="https://doi.org/10.1016/j.mex.2019.03.023" TargetMode="External"/><Relationship Id="rId38" Type="http://schemas.openxmlformats.org/officeDocument/2006/relationships/hyperlink" Target="https://doi.org/10.1016/j.scs.2021.103159" TargetMode="External"/><Relationship Id="rId46" Type="http://schemas.openxmlformats.org/officeDocument/2006/relationships/hyperlink" Target="https://doi.org/10.1080/01944363.2020.1759127" TargetMode="External"/><Relationship Id="rId20" Type="http://schemas.openxmlformats.org/officeDocument/2006/relationships/hyperlink" Target="https://doi.org/10.1289/ehp.1104625" TargetMode="External"/><Relationship Id="rId41" Type="http://schemas.openxmlformats.org/officeDocument/2006/relationships/hyperlink" Target="https://doi.org/10.5066/P9OGBGM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cities.2013.09.004" TargetMode="External"/><Relationship Id="rId23" Type="http://schemas.openxmlformats.org/officeDocument/2006/relationships/hyperlink" Target="https://doi.org/10.3390/su141710561" TargetMode="External"/><Relationship Id="rId28" Type="http://schemas.openxmlformats.org/officeDocument/2006/relationships/hyperlink" Target="https://doi.org/10.1029/2022gh000695" TargetMode="External"/><Relationship Id="rId36" Type="http://schemas.openxmlformats.org/officeDocument/2006/relationships/hyperlink" Target="https://s3.amazonaws.com/mta-website-staging/mta-website-staging/files/Title%20VI/MTA_TitleVIProgram_2020-2023_05.15.2020.pdf" TargetMode="External"/><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gLp7kjJbLePfx3gx7aYovmkGFw==">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9100</Words>
  <Characters>51874</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M. Kufferman</dc:creator>
  <cp:keywords/>
  <cp:lastModifiedBy>Laramie Plott</cp:lastModifiedBy>
  <cp:revision>17</cp:revision>
  <dcterms:created xsi:type="dcterms:W3CDTF">2024-03-04T13:13:00Z</dcterms:created>
  <dcterms:modified xsi:type="dcterms:W3CDTF">2024-07-22T14:04:00Z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0x0101002079F8CB76D0E34B89531DCE233395D6</vt:lpwstr>
  </property>
  <property fmtid="{D5CDD505-2E9C-101B-9397-08002B2CF9AE}" pid="3" name="xd_ProgID">
    <vt:lpwstr>xd_ProgID</vt:lpwstr>
  </property>
  <property fmtid="{D5CDD505-2E9C-101B-9397-08002B2CF9AE}" pid="4" name="ComplianceAssetId">
    <vt:lpwstr>ComplianceAssetId</vt:lpwstr>
  </property>
  <property fmtid="{D5CDD505-2E9C-101B-9397-08002B2CF9AE}" pid="5" name="TemplateUrl">
    <vt:lpwstr>TemplateUrl</vt:lpwstr>
  </property>
  <property fmtid="{D5CDD505-2E9C-101B-9397-08002B2CF9AE}" pid="6" name="_ExtendedDescription">
    <vt:lpwstr>_ExtendedDescription</vt:lpwstr>
  </property>
  <property fmtid="{D5CDD505-2E9C-101B-9397-08002B2CF9AE}" pid="7" name="TriggerFlowInfo">
    <vt:lpwstr>TriggerFlowInfo</vt:lpwstr>
  </property>
  <property fmtid="{D5CDD505-2E9C-101B-9397-08002B2CF9AE}" pid="8" name="xd_Signature">
    <vt:lpwstr>false</vt:lpwstr>
  </property>
  <property fmtid="{D5CDD505-2E9C-101B-9397-08002B2CF9AE}" pid="9" name="_activity">
    <vt:lpwstr>{"FileActivityType":"9","FileActivityTimeStamp":"2024-03-02T00:13:47.380Z","FileActivityUsersOnPage":[{"DisplayName":"Stephanie Willsey","Id":"stephanie.willsey@ama-inc.com"},{"DisplayName":"Mccartney, Sean (GSFC-610.0)[SCIENCE SYSTEMS AND APPLICATIONS INC]","Id":"sean.mccartney_nasa.gov#ext#@amaincmail.onmicrosoft.com"},{"DisplayName":"Stephanie Willsey","Id":"stephanie.willsey@ama-inc.com"}],"FileActivityNavigationId":null}</vt:lpwstr>
  </property>
  <property fmtid="{D5CDD505-2E9C-101B-9397-08002B2CF9AE}" pid="10" name="MediaServiceImageTags">
    <vt:lpwstr>MediaServiceImageTags</vt:lpwstr>
  </property>
</Properties>
</file>