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9BDEB3F"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40D18">
        <w:rPr>
          <w:rFonts w:ascii="Century Gothic" w:hAnsi="Century Gothic" w:cs="Arial"/>
          <w:sz w:val="24"/>
        </w:rPr>
        <w:t xml:space="preserve">NASA </w:t>
      </w:r>
      <w:r w:rsidR="00C85766">
        <w:rPr>
          <w:rFonts w:ascii="Century Gothic" w:hAnsi="Century Gothic" w:cs="Arial"/>
          <w:sz w:val="24"/>
        </w:rPr>
        <w:t>Goddard Space Flight Center</w:t>
      </w:r>
    </w:p>
    <w:p w14:paraId="21AFF2C9" w14:textId="6F065C90"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24A6747B"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45085C">
        <w:rPr>
          <w:rFonts w:ascii="Century Gothic" w:hAnsi="Century Gothic" w:cs="Arial"/>
          <w:b/>
        </w:rPr>
        <w:t>Kenya Ecological Forecasting</w:t>
      </w:r>
    </w:p>
    <w:p w14:paraId="38FB8E53" w14:textId="2A1D861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85766">
        <w:rPr>
          <w:rFonts w:ascii="Century Gothic" w:hAnsi="Century Gothic" w:cs="Arial"/>
        </w:rPr>
        <w:t>Estimating Carbon Sequestration within Global Environment Facility Funded Protected Areas in Kenya to Aid Future Policy</w:t>
      </w:r>
    </w:p>
    <w:p w14:paraId="258FD607" w14:textId="0DADDC73" w:rsid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953246">
        <w:rPr>
          <w:rFonts w:ascii="Century Gothic" w:hAnsi="Century Gothic" w:cs="Arial"/>
        </w:rPr>
        <w:t xml:space="preserve">Keeping Deforestation </w:t>
      </w:r>
      <w:r w:rsidR="00953246" w:rsidRPr="006130EE">
        <w:rPr>
          <w:rFonts w:ascii="Century Gothic" w:hAnsi="Century Gothic" w:cs="Arial"/>
          <w:i/>
        </w:rPr>
        <w:t>Out of Africa</w:t>
      </w:r>
      <w:r w:rsidR="00C85766">
        <w:rPr>
          <w:rFonts w:ascii="Century Gothic" w:hAnsi="Century Gothic" w:cs="Arial"/>
        </w:rPr>
        <w:t xml:space="preserve">: </w:t>
      </w:r>
      <w:r w:rsidR="006558A7">
        <w:rPr>
          <w:rFonts w:ascii="Century Gothic" w:hAnsi="Century Gothic" w:cs="Arial"/>
        </w:rPr>
        <w:t xml:space="preserve">Kenya’s </w:t>
      </w:r>
      <w:r w:rsidR="00C11447">
        <w:rPr>
          <w:rFonts w:ascii="Century Gothic" w:hAnsi="Century Gothic" w:cs="Arial"/>
        </w:rPr>
        <w:t>Protected Areas</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E12BF9C" w14:textId="77777777" w:rsidR="00C85766" w:rsidRPr="00C85766" w:rsidRDefault="00C85766" w:rsidP="00C85766">
      <w:pPr>
        <w:spacing w:after="0" w:line="240" w:lineRule="auto"/>
        <w:rPr>
          <w:rFonts w:ascii="Century Gothic" w:eastAsia="Times New Roman" w:hAnsi="Century Gothic"/>
          <w:sz w:val="24"/>
          <w:szCs w:val="24"/>
        </w:rPr>
      </w:pPr>
      <w:r w:rsidRPr="00C85766">
        <w:rPr>
          <w:rFonts w:ascii="Century Gothic" w:eastAsia="Times New Roman" w:hAnsi="Century Gothic"/>
          <w:color w:val="000000"/>
          <w:sz w:val="20"/>
          <w:szCs w:val="20"/>
        </w:rPr>
        <w:t>Madeline Ruid (Project Lead), madeline.ruid@gmail.com</w:t>
      </w:r>
    </w:p>
    <w:p w14:paraId="204D8B9B" w14:textId="77777777" w:rsidR="00C85766" w:rsidRPr="00C85766" w:rsidRDefault="00C85766" w:rsidP="00C85766">
      <w:pPr>
        <w:spacing w:after="0" w:line="240" w:lineRule="auto"/>
        <w:rPr>
          <w:rFonts w:ascii="Century Gothic" w:eastAsia="Times New Roman" w:hAnsi="Century Gothic"/>
          <w:sz w:val="24"/>
          <w:szCs w:val="24"/>
        </w:rPr>
      </w:pPr>
      <w:r w:rsidRPr="00C85766">
        <w:rPr>
          <w:rFonts w:ascii="Century Gothic" w:eastAsia="Times New Roman" w:hAnsi="Century Gothic"/>
          <w:color w:val="000000"/>
          <w:sz w:val="20"/>
          <w:szCs w:val="20"/>
        </w:rPr>
        <w:t>Erin Glennie</w:t>
      </w:r>
    </w:p>
    <w:p w14:paraId="59F17B2B" w14:textId="77777777" w:rsidR="00C85766" w:rsidRPr="00C85766" w:rsidRDefault="00C85766" w:rsidP="00C85766">
      <w:pPr>
        <w:spacing w:after="0" w:line="240" w:lineRule="auto"/>
        <w:rPr>
          <w:rFonts w:ascii="Century Gothic" w:eastAsia="Times New Roman" w:hAnsi="Century Gothic"/>
          <w:sz w:val="24"/>
          <w:szCs w:val="24"/>
        </w:rPr>
      </w:pPr>
      <w:r w:rsidRPr="00C85766">
        <w:rPr>
          <w:rFonts w:ascii="Century Gothic" w:eastAsia="Times New Roman" w:hAnsi="Century Gothic"/>
          <w:color w:val="000000"/>
          <w:sz w:val="20"/>
          <w:szCs w:val="20"/>
        </w:rPr>
        <w:t>Heather Mitchell</w:t>
      </w:r>
    </w:p>
    <w:p w14:paraId="200F13DD" w14:textId="77777777" w:rsidR="00C85766" w:rsidRPr="00C85766" w:rsidRDefault="00C85766" w:rsidP="00C85766">
      <w:pPr>
        <w:spacing w:after="0" w:line="240" w:lineRule="auto"/>
        <w:rPr>
          <w:rFonts w:ascii="Century Gothic" w:eastAsia="Times New Roman" w:hAnsi="Century Gothic"/>
          <w:sz w:val="24"/>
          <w:szCs w:val="24"/>
        </w:rPr>
      </w:pPr>
      <w:r w:rsidRPr="00C85766">
        <w:rPr>
          <w:rFonts w:ascii="Century Gothic" w:eastAsia="Times New Roman" w:hAnsi="Century Gothic"/>
          <w:color w:val="000000"/>
          <w:sz w:val="20"/>
          <w:szCs w:val="20"/>
        </w:rPr>
        <w:t>Perry Oddo</w:t>
      </w:r>
    </w:p>
    <w:p w14:paraId="69BA7F00" w14:textId="7D79C6B2" w:rsidR="00C85766" w:rsidRPr="00C85766" w:rsidRDefault="00C85766" w:rsidP="00C85766">
      <w:pPr>
        <w:spacing w:after="0" w:line="240" w:lineRule="auto"/>
        <w:rPr>
          <w:rFonts w:ascii="Century Gothic" w:hAnsi="Century Gothic" w:cs="Arial"/>
          <w:sz w:val="20"/>
          <w:szCs w:val="20"/>
        </w:rPr>
      </w:pPr>
      <w:r w:rsidRPr="00C85766">
        <w:rPr>
          <w:rFonts w:ascii="Century Gothic" w:eastAsia="Times New Roman" w:hAnsi="Century Gothic"/>
          <w:color w:val="000000"/>
          <w:sz w:val="20"/>
          <w:szCs w:val="20"/>
        </w:rPr>
        <w:t>Alison Thieme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44616A21" w14:textId="333DA552" w:rsidR="00C85766" w:rsidRPr="00C85766" w:rsidRDefault="00C85766" w:rsidP="00C85766">
      <w:pPr>
        <w:spacing w:after="0" w:line="240" w:lineRule="auto"/>
        <w:rPr>
          <w:rFonts w:ascii="Century Gothic" w:eastAsia="Times New Roman" w:hAnsi="Century Gothic"/>
          <w:sz w:val="24"/>
          <w:szCs w:val="24"/>
        </w:rPr>
      </w:pPr>
      <w:r w:rsidRPr="00C85766">
        <w:rPr>
          <w:rFonts w:ascii="Century Gothic" w:eastAsia="Times New Roman" w:hAnsi="Century Gothic"/>
          <w:color w:val="000000"/>
          <w:sz w:val="20"/>
          <w:szCs w:val="20"/>
        </w:rPr>
        <w:t xml:space="preserve">Dr. Compton J. Tucker </w:t>
      </w:r>
      <w:r w:rsidR="00E40D18">
        <w:rPr>
          <w:rFonts w:ascii="Century Gothic" w:eastAsia="Times New Roman" w:hAnsi="Century Gothic"/>
          <w:color w:val="000000"/>
          <w:sz w:val="20"/>
          <w:szCs w:val="20"/>
        </w:rPr>
        <w:t>(</w:t>
      </w:r>
      <w:r w:rsidRPr="00C85766">
        <w:rPr>
          <w:rFonts w:ascii="Century Gothic" w:eastAsia="Times New Roman" w:hAnsi="Century Gothic"/>
          <w:color w:val="000000"/>
          <w:sz w:val="20"/>
          <w:szCs w:val="20"/>
        </w:rPr>
        <w:t>NASA GSFC</w:t>
      </w:r>
      <w:r w:rsidR="00E40D18">
        <w:rPr>
          <w:rFonts w:ascii="Century Gothic" w:eastAsia="Times New Roman" w:hAnsi="Century Gothic"/>
          <w:color w:val="000000"/>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510"/>
        <w:gridCol w:w="3060"/>
        <w:gridCol w:w="1620"/>
        <w:gridCol w:w="1080"/>
      </w:tblGrid>
      <w:tr w:rsidR="00720DF2" w:rsidRPr="00720DF2" w14:paraId="24372DC3" w14:textId="77777777" w:rsidTr="00BE3140">
        <w:tc>
          <w:tcPr>
            <w:tcW w:w="351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06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BE3140">
        <w:tc>
          <w:tcPr>
            <w:tcW w:w="3510" w:type="dxa"/>
          </w:tcPr>
          <w:p w14:paraId="73E34636" w14:textId="61EEE597" w:rsidR="00720DF2" w:rsidRPr="00720DF2" w:rsidRDefault="00C85766" w:rsidP="00BE3140">
            <w:pPr>
              <w:spacing w:after="0" w:line="240" w:lineRule="auto"/>
              <w:rPr>
                <w:sz w:val="20"/>
                <w:szCs w:val="20"/>
              </w:rPr>
            </w:pPr>
            <w:r>
              <w:rPr>
                <w:sz w:val="20"/>
                <w:szCs w:val="20"/>
              </w:rPr>
              <w:t>Global Environment Facility- Independent Evaluation Office</w:t>
            </w:r>
          </w:p>
        </w:tc>
        <w:tc>
          <w:tcPr>
            <w:tcW w:w="3060" w:type="dxa"/>
          </w:tcPr>
          <w:p w14:paraId="7109848B" w14:textId="6495A07B" w:rsidR="00720DF2" w:rsidRPr="00720DF2" w:rsidRDefault="00C85766" w:rsidP="00C85766">
            <w:pPr>
              <w:spacing w:after="0" w:line="240" w:lineRule="auto"/>
              <w:rPr>
                <w:sz w:val="20"/>
                <w:szCs w:val="20"/>
              </w:rPr>
            </w:pPr>
            <w:r>
              <w:rPr>
                <w:sz w:val="20"/>
                <w:szCs w:val="20"/>
              </w:rPr>
              <w:t>Anupam Anand, Evaluation Officer</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78D20210" w:rsidR="00720DF2" w:rsidRPr="00720DF2" w:rsidRDefault="003529F6" w:rsidP="00720DF2">
            <w:pPr>
              <w:spacing w:after="0" w:line="240" w:lineRule="auto"/>
              <w:jc w:val="center"/>
              <w:rPr>
                <w:sz w:val="20"/>
                <w:szCs w:val="20"/>
              </w:rPr>
            </w:pPr>
            <w:r>
              <w:rPr>
                <w:sz w:val="20"/>
                <w:szCs w:val="20"/>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CB7181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C85766">
        <w:rPr>
          <w:rFonts w:ascii="Century Gothic" w:hAnsi="Century Gothic" w:cs="Arial"/>
          <w:sz w:val="20"/>
          <w:szCs w:val="20"/>
        </w:rPr>
        <w:t>Ecological Forecasting</w:t>
      </w:r>
    </w:p>
    <w:p w14:paraId="56DFA915" w14:textId="65B1D92B"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C85766">
        <w:rPr>
          <w:rFonts w:ascii="Century Gothic" w:hAnsi="Century Gothic" w:cs="Arial"/>
          <w:sz w:val="20"/>
          <w:szCs w:val="20"/>
        </w:rPr>
        <w:t>Kenya</w:t>
      </w:r>
    </w:p>
    <w:p w14:paraId="3EFD80AD" w14:textId="1C302D58"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529F6">
        <w:rPr>
          <w:rFonts w:ascii="Century Gothic" w:hAnsi="Century Gothic" w:cs="Arial"/>
          <w:sz w:val="20"/>
          <w:szCs w:val="20"/>
        </w:rPr>
        <w:t xml:space="preserve">January </w:t>
      </w:r>
      <w:r w:rsidR="00C85766">
        <w:rPr>
          <w:rFonts w:ascii="Century Gothic" w:hAnsi="Century Gothic" w:cs="Arial"/>
          <w:sz w:val="20"/>
          <w:szCs w:val="20"/>
        </w:rPr>
        <w:t>1995 -</w:t>
      </w:r>
      <w:r w:rsidR="003529F6">
        <w:rPr>
          <w:rFonts w:ascii="Century Gothic" w:hAnsi="Century Gothic" w:cs="Arial"/>
          <w:sz w:val="20"/>
          <w:szCs w:val="20"/>
        </w:rPr>
        <w:t xml:space="preserve"> December</w:t>
      </w:r>
      <w:r w:rsidR="00C85766">
        <w:rPr>
          <w:rFonts w:ascii="Century Gothic" w:hAnsi="Century Gothic" w:cs="Arial"/>
          <w:sz w:val="20"/>
          <w:szCs w:val="20"/>
        </w:rPr>
        <w:t xml:space="preserve"> 2030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4A886E71" w14:textId="0469ECA9" w:rsidR="00C85766" w:rsidRPr="00C85766" w:rsidRDefault="00C85766" w:rsidP="00C85766">
      <w:pPr>
        <w:spacing w:after="0" w:line="240" w:lineRule="auto"/>
        <w:rPr>
          <w:rFonts w:ascii="Century Gothic" w:eastAsia="Times New Roman" w:hAnsi="Century Gothic"/>
          <w:sz w:val="24"/>
          <w:szCs w:val="24"/>
        </w:rPr>
      </w:pPr>
      <w:r w:rsidRPr="00C85766">
        <w:rPr>
          <w:rFonts w:ascii="Century Gothic" w:eastAsia="Times New Roman" w:hAnsi="Century Gothic"/>
          <w:color w:val="000000"/>
          <w:sz w:val="20"/>
          <w:szCs w:val="20"/>
        </w:rPr>
        <w:t>Lan</w:t>
      </w:r>
      <w:r w:rsidR="003529F6">
        <w:rPr>
          <w:rFonts w:ascii="Century Gothic" w:eastAsia="Times New Roman" w:hAnsi="Century Gothic"/>
          <w:color w:val="000000"/>
          <w:sz w:val="20"/>
          <w:szCs w:val="20"/>
        </w:rPr>
        <w:t xml:space="preserve">dsat 5, Thematic Mapper (TM) – land cover classification </w:t>
      </w:r>
      <w:r w:rsidRPr="00C85766">
        <w:rPr>
          <w:rFonts w:ascii="Century Gothic" w:eastAsia="Times New Roman" w:hAnsi="Century Gothic"/>
          <w:color w:val="000000"/>
          <w:sz w:val="20"/>
          <w:szCs w:val="20"/>
        </w:rPr>
        <w:t>using multispectral bands</w:t>
      </w:r>
    </w:p>
    <w:p w14:paraId="6F01CC13" w14:textId="0EC59239" w:rsidR="00C85766" w:rsidRPr="00C85766" w:rsidRDefault="00C85766" w:rsidP="00C85766">
      <w:pPr>
        <w:spacing w:after="0" w:line="240" w:lineRule="auto"/>
        <w:rPr>
          <w:rFonts w:ascii="Century Gothic" w:eastAsia="Times New Roman" w:hAnsi="Century Gothic"/>
          <w:sz w:val="24"/>
          <w:szCs w:val="24"/>
        </w:rPr>
      </w:pPr>
      <w:r w:rsidRPr="00C85766">
        <w:rPr>
          <w:rFonts w:ascii="Century Gothic" w:eastAsia="Times New Roman" w:hAnsi="Century Gothic"/>
          <w:color w:val="000000"/>
          <w:sz w:val="20"/>
          <w:szCs w:val="20"/>
        </w:rPr>
        <w:t>Landsat 7, Enhanced Thematic Mapper Plus (ETM+) –</w:t>
      </w:r>
      <w:r w:rsidR="00BE3140">
        <w:rPr>
          <w:rFonts w:ascii="Century Gothic" w:eastAsia="Times New Roman" w:hAnsi="Century Gothic"/>
          <w:color w:val="000000"/>
          <w:sz w:val="20"/>
          <w:szCs w:val="20"/>
        </w:rPr>
        <w:t xml:space="preserve"> l</w:t>
      </w:r>
      <w:r w:rsidR="003529F6">
        <w:rPr>
          <w:rFonts w:ascii="Century Gothic" w:eastAsia="Times New Roman" w:hAnsi="Century Gothic"/>
          <w:color w:val="000000"/>
          <w:sz w:val="20"/>
          <w:szCs w:val="20"/>
        </w:rPr>
        <w:t xml:space="preserve">and cover classification </w:t>
      </w:r>
      <w:r w:rsidRPr="00C85766">
        <w:rPr>
          <w:rFonts w:ascii="Century Gothic" w:eastAsia="Times New Roman" w:hAnsi="Century Gothic"/>
          <w:color w:val="000000"/>
          <w:sz w:val="20"/>
          <w:szCs w:val="20"/>
        </w:rPr>
        <w:t>using multispectral bands</w:t>
      </w:r>
    </w:p>
    <w:p w14:paraId="32FEEBBD" w14:textId="0489DB5C" w:rsidR="00C85766" w:rsidRPr="00C85766" w:rsidRDefault="00C85766" w:rsidP="00C85766">
      <w:pPr>
        <w:spacing w:after="0" w:line="240" w:lineRule="auto"/>
        <w:rPr>
          <w:rFonts w:ascii="Century Gothic" w:eastAsia="Times New Roman" w:hAnsi="Century Gothic"/>
          <w:sz w:val="24"/>
          <w:szCs w:val="24"/>
        </w:rPr>
      </w:pPr>
      <w:r w:rsidRPr="00C85766">
        <w:rPr>
          <w:rFonts w:ascii="Century Gothic" w:eastAsia="Times New Roman" w:hAnsi="Century Gothic"/>
          <w:color w:val="000000"/>
          <w:sz w:val="20"/>
          <w:szCs w:val="20"/>
        </w:rPr>
        <w:t>Landsat 8, Operational Land Imager (OLI) –</w:t>
      </w:r>
      <w:r w:rsidR="003529F6">
        <w:rPr>
          <w:rFonts w:ascii="Century Gothic" w:eastAsia="Times New Roman" w:hAnsi="Century Gothic"/>
          <w:color w:val="000000"/>
          <w:sz w:val="20"/>
          <w:szCs w:val="20"/>
        </w:rPr>
        <w:t xml:space="preserve"> land cover classification </w:t>
      </w:r>
      <w:r w:rsidRPr="00C85766">
        <w:rPr>
          <w:rFonts w:ascii="Century Gothic" w:eastAsia="Times New Roman" w:hAnsi="Century Gothic"/>
          <w:color w:val="000000"/>
          <w:sz w:val="20"/>
          <w:szCs w:val="20"/>
        </w:rPr>
        <w:t>using multispectral bands</w:t>
      </w:r>
    </w:p>
    <w:p w14:paraId="02569803" w14:textId="77777777" w:rsidR="00BE3140" w:rsidRPr="00C85766" w:rsidRDefault="00BE3140" w:rsidP="00BE3140">
      <w:pPr>
        <w:spacing w:after="0" w:line="240" w:lineRule="auto"/>
        <w:rPr>
          <w:rFonts w:ascii="Century Gothic" w:hAnsi="Century Gothic" w:cs="Arial"/>
          <w:sz w:val="20"/>
          <w:szCs w:val="20"/>
        </w:rPr>
      </w:pPr>
      <w:r>
        <w:rPr>
          <w:rFonts w:ascii="Century Gothic" w:eastAsia="Times New Roman" w:hAnsi="Century Gothic"/>
          <w:color w:val="000000"/>
          <w:sz w:val="20"/>
          <w:szCs w:val="20"/>
        </w:rPr>
        <w:t>Shuttle Radar Topography Mission (SRTM) – land cover classification using digital elevation model</w:t>
      </w:r>
    </w:p>
    <w:p w14:paraId="78A68ECB" w14:textId="7C0D60AA" w:rsidR="00C85766" w:rsidRPr="00C85766" w:rsidRDefault="00C85766" w:rsidP="00C85766">
      <w:pPr>
        <w:spacing w:after="0" w:line="240" w:lineRule="auto"/>
        <w:rPr>
          <w:rFonts w:ascii="Century Gothic" w:eastAsia="Times New Roman" w:hAnsi="Century Gothic"/>
          <w:sz w:val="24"/>
          <w:szCs w:val="24"/>
        </w:rPr>
      </w:pPr>
      <w:r w:rsidRPr="00C85766">
        <w:rPr>
          <w:rFonts w:ascii="Century Gothic" w:eastAsia="Times New Roman" w:hAnsi="Century Gothic"/>
          <w:color w:val="000000"/>
          <w:sz w:val="20"/>
          <w:szCs w:val="20"/>
        </w:rPr>
        <w:t>QuickBird</w:t>
      </w:r>
      <w:r w:rsidR="00A40133">
        <w:rPr>
          <w:rFonts w:ascii="Century Gothic" w:eastAsia="Times New Roman" w:hAnsi="Century Gothic"/>
          <w:color w:val="000000"/>
          <w:sz w:val="20"/>
          <w:szCs w:val="20"/>
        </w:rPr>
        <w:t>-</w:t>
      </w:r>
      <w:r w:rsidRPr="00C85766">
        <w:rPr>
          <w:rFonts w:ascii="Century Gothic" w:eastAsia="Times New Roman" w:hAnsi="Century Gothic"/>
          <w:color w:val="000000"/>
          <w:sz w:val="20"/>
          <w:szCs w:val="20"/>
        </w:rPr>
        <w:t xml:space="preserve">2 – </w:t>
      </w:r>
      <w:r w:rsidR="0037622F">
        <w:rPr>
          <w:rFonts w:ascii="Century Gothic" w:eastAsia="Times New Roman" w:hAnsi="Century Gothic"/>
          <w:color w:val="000000"/>
          <w:sz w:val="20"/>
          <w:szCs w:val="20"/>
        </w:rPr>
        <w:t>accuracy assessment</w:t>
      </w:r>
      <w:r w:rsidRPr="00C85766">
        <w:rPr>
          <w:rFonts w:ascii="Century Gothic" w:eastAsia="Times New Roman" w:hAnsi="Century Gothic"/>
          <w:color w:val="000000"/>
          <w:sz w:val="20"/>
          <w:szCs w:val="20"/>
        </w:rPr>
        <w:t xml:space="preserve"> of land cover classifications</w:t>
      </w:r>
    </w:p>
    <w:p w14:paraId="28C0F97C" w14:textId="28425458" w:rsidR="00C85766" w:rsidRPr="00C85766" w:rsidRDefault="00C85766" w:rsidP="00C85766">
      <w:pPr>
        <w:spacing w:after="0" w:line="240" w:lineRule="auto"/>
        <w:rPr>
          <w:rFonts w:ascii="Century Gothic" w:eastAsia="Times New Roman" w:hAnsi="Century Gothic"/>
          <w:sz w:val="24"/>
          <w:szCs w:val="24"/>
        </w:rPr>
      </w:pPr>
      <w:r w:rsidRPr="00C85766">
        <w:rPr>
          <w:rFonts w:ascii="Century Gothic" w:eastAsia="Times New Roman" w:hAnsi="Century Gothic"/>
          <w:color w:val="000000"/>
          <w:sz w:val="20"/>
          <w:szCs w:val="20"/>
        </w:rPr>
        <w:t xml:space="preserve">GeoEye-1 – </w:t>
      </w:r>
      <w:r w:rsidR="0037622F">
        <w:rPr>
          <w:rFonts w:ascii="Century Gothic" w:eastAsia="Times New Roman" w:hAnsi="Century Gothic"/>
          <w:color w:val="000000"/>
          <w:sz w:val="20"/>
          <w:szCs w:val="20"/>
        </w:rPr>
        <w:t>accuracy assessment</w:t>
      </w:r>
      <w:r w:rsidR="0037622F" w:rsidRPr="00C85766">
        <w:rPr>
          <w:rFonts w:ascii="Century Gothic" w:eastAsia="Times New Roman" w:hAnsi="Century Gothic"/>
          <w:color w:val="000000"/>
          <w:sz w:val="20"/>
          <w:szCs w:val="20"/>
        </w:rPr>
        <w:t xml:space="preserve"> </w:t>
      </w:r>
      <w:r w:rsidRPr="00C85766">
        <w:rPr>
          <w:rFonts w:ascii="Century Gothic" w:eastAsia="Times New Roman" w:hAnsi="Century Gothic"/>
          <w:color w:val="000000"/>
          <w:sz w:val="20"/>
          <w:szCs w:val="20"/>
        </w:rPr>
        <w:t>of land cover classifications</w:t>
      </w:r>
    </w:p>
    <w:p w14:paraId="544F882D" w14:textId="13AA6DBE" w:rsidR="00C85766" w:rsidRDefault="00C85766" w:rsidP="00C85766">
      <w:pPr>
        <w:spacing w:after="0" w:line="240" w:lineRule="auto"/>
        <w:rPr>
          <w:rFonts w:ascii="Century Gothic" w:eastAsia="Times New Roman" w:hAnsi="Century Gothic"/>
          <w:color w:val="000000"/>
          <w:sz w:val="20"/>
          <w:szCs w:val="20"/>
        </w:rPr>
      </w:pPr>
      <w:r w:rsidRPr="00C85766">
        <w:rPr>
          <w:rFonts w:ascii="Century Gothic" w:eastAsia="Times New Roman" w:hAnsi="Century Gothic"/>
          <w:color w:val="000000"/>
          <w:sz w:val="20"/>
          <w:szCs w:val="20"/>
        </w:rPr>
        <w:t xml:space="preserve">WorldView-2 – </w:t>
      </w:r>
      <w:r w:rsidR="0037622F">
        <w:rPr>
          <w:rFonts w:ascii="Century Gothic" w:eastAsia="Times New Roman" w:hAnsi="Century Gothic"/>
          <w:color w:val="000000"/>
          <w:sz w:val="20"/>
          <w:szCs w:val="20"/>
        </w:rPr>
        <w:t>accuracy assessment</w:t>
      </w:r>
      <w:r w:rsidRPr="00C85766">
        <w:rPr>
          <w:rFonts w:ascii="Century Gothic" w:eastAsia="Times New Roman" w:hAnsi="Century Gothic"/>
          <w:color w:val="000000"/>
          <w:sz w:val="20"/>
          <w:szCs w:val="20"/>
        </w:rPr>
        <w:t xml:space="preserve"> of land cover classifications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C9F59A4" w14:textId="3AF33C8F" w:rsidR="00C85766" w:rsidRPr="00C85766" w:rsidRDefault="00C85766" w:rsidP="00C85766">
      <w:pPr>
        <w:numPr>
          <w:ilvl w:val="0"/>
          <w:numId w:val="14"/>
        </w:numPr>
        <w:spacing w:after="0" w:line="240" w:lineRule="auto"/>
        <w:textAlignment w:val="baseline"/>
        <w:rPr>
          <w:rFonts w:ascii="Century Gothic" w:eastAsia="Times New Roman" w:hAnsi="Century Gothic"/>
          <w:color w:val="000000"/>
          <w:sz w:val="20"/>
          <w:szCs w:val="20"/>
        </w:rPr>
      </w:pPr>
      <w:r w:rsidRPr="00C85766">
        <w:rPr>
          <w:rFonts w:ascii="Century Gothic" w:eastAsia="Times New Roman" w:hAnsi="Century Gothic"/>
          <w:color w:val="000000"/>
          <w:sz w:val="20"/>
          <w:szCs w:val="20"/>
        </w:rPr>
        <w:t xml:space="preserve">WorldClim – </w:t>
      </w:r>
      <w:r w:rsidR="009457C9">
        <w:rPr>
          <w:rFonts w:ascii="Century Gothic" w:eastAsia="Times New Roman" w:hAnsi="Century Gothic"/>
          <w:color w:val="000000"/>
          <w:sz w:val="20"/>
          <w:szCs w:val="20"/>
        </w:rPr>
        <w:t>annual mean temperature, annual total precipitation</w:t>
      </w:r>
    </w:p>
    <w:p w14:paraId="383ECCFC" w14:textId="4D8B5A27" w:rsidR="00C85766" w:rsidRPr="00C85766" w:rsidRDefault="00C85766" w:rsidP="00C85766">
      <w:pPr>
        <w:numPr>
          <w:ilvl w:val="0"/>
          <w:numId w:val="14"/>
        </w:numPr>
        <w:spacing w:after="0" w:line="240" w:lineRule="auto"/>
        <w:textAlignment w:val="baseline"/>
        <w:rPr>
          <w:rFonts w:ascii="Century Gothic" w:eastAsia="Times New Roman" w:hAnsi="Century Gothic"/>
          <w:color w:val="000000"/>
          <w:sz w:val="20"/>
          <w:szCs w:val="20"/>
        </w:rPr>
      </w:pPr>
      <w:r w:rsidRPr="00C85766">
        <w:rPr>
          <w:rFonts w:ascii="Century Gothic" w:eastAsia="Times New Roman" w:hAnsi="Century Gothic"/>
          <w:color w:val="000000"/>
          <w:sz w:val="20"/>
          <w:szCs w:val="20"/>
        </w:rPr>
        <w:t>OpenStreetMap – roads</w:t>
      </w:r>
      <w:r w:rsidR="00617F6B">
        <w:rPr>
          <w:rFonts w:ascii="Century Gothic" w:eastAsia="Times New Roman" w:hAnsi="Century Gothic"/>
          <w:color w:val="000000"/>
          <w:sz w:val="20"/>
          <w:szCs w:val="20"/>
        </w:rPr>
        <w:t xml:space="preserve"> and</w:t>
      </w:r>
      <w:r w:rsidR="00A40133">
        <w:rPr>
          <w:rFonts w:ascii="Century Gothic" w:eastAsia="Times New Roman" w:hAnsi="Century Gothic"/>
          <w:color w:val="000000"/>
          <w:sz w:val="20"/>
          <w:szCs w:val="20"/>
        </w:rPr>
        <w:t xml:space="preserve"> rivers</w:t>
      </w:r>
    </w:p>
    <w:p w14:paraId="0A83CC49" w14:textId="43017870" w:rsidR="00C85766" w:rsidRPr="00C85766" w:rsidRDefault="00C85766" w:rsidP="00C85766">
      <w:pPr>
        <w:numPr>
          <w:ilvl w:val="0"/>
          <w:numId w:val="14"/>
        </w:numPr>
        <w:spacing w:after="0" w:line="240" w:lineRule="auto"/>
        <w:textAlignment w:val="baseline"/>
        <w:rPr>
          <w:rFonts w:ascii="Century Gothic" w:eastAsia="Times New Roman" w:hAnsi="Century Gothic"/>
          <w:color w:val="000000"/>
          <w:sz w:val="20"/>
          <w:szCs w:val="20"/>
        </w:rPr>
      </w:pPr>
      <w:r w:rsidRPr="00C85766">
        <w:rPr>
          <w:rFonts w:ascii="Century Gothic" w:eastAsia="Times New Roman" w:hAnsi="Century Gothic"/>
          <w:color w:val="000000"/>
          <w:sz w:val="20"/>
          <w:szCs w:val="20"/>
        </w:rPr>
        <w:t>WorldPop – human population density</w:t>
      </w:r>
      <w:r w:rsidR="009457C9">
        <w:rPr>
          <w:rFonts w:ascii="Century Gothic" w:eastAsia="Times New Roman" w:hAnsi="Century Gothic"/>
          <w:color w:val="000000"/>
          <w:sz w:val="20"/>
          <w:szCs w:val="20"/>
        </w:rPr>
        <w:t xml:space="preserve"> adjusted to United Nations national estimates</w:t>
      </w:r>
    </w:p>
    <w:p w14:paraId="2F41E439" w14:textId="253D0DA4" w:rsidR="00BE3140" w:rsidRPr="00BE3140" w:rsidRDefault="00C85766" w:rsidP="00BE3140">
      <w:pPr>
        <w:numPr>
          <w:ilvl w:val="0"/>
          <w:numId w:val="14"/>
        </w:numPr>
        <w:spacing w:before="100" w:beforeAutospacing="1" w:after="100" w:afterAutospacing="1" w:line="240" w:lineRule="auto"/>
        <w:textAlignment w:val="baseline"/>
        <w:rPr>
          <w:rFonts w:ascii="Century Gothic" w:eastAsia="Times New Roman" w:hAnsi="Century Gothic"/>
          <w:color w:val="000000"/>
          <w:sz w:val="20"/>
          <w:szCs w:val="20"/>
        </w:rPr>
      </w:pPr>
      <w:r w:rsidRPr="00C85766">
        <w:rPr>
          <w:rFonts w:ascii="Century Gothic" w:eastAsia="Times New Roman" w:hAnsi="Century Gothic"/>
          <w:color w:val="000000"/>
          <w:sz w:val="20"/>
          <w:szCs w:val="20"/>
        </w:rPr>
        <w:t>F</w:t>
      </w:r>
      <w:r w:rsidR="00C807CE">
        <w:rPr>
          <w:rFonts w:ascii="Century Gothic" w:eastAsia="Times New Roman" w:hAnsi="Century Gothic"/>
          <w:color w:val="000000"/>
          <w:sz w:val="20"/>
          <w:szCs w:val="20"/>
        </w:rPr>
        <w:t xml:space="preserve">ood and Agriculture Organization of the United Nations (FAO) </w:t>
      </w:r>
      <w:r w:rsidR="006E1982">
        <w:rPr>
          <w:rFonts w:ascii="Century Gothic" w:eastAsia="Times New Roman" w:hAnsi="Century Gothic"/>
          <w:color w:val="000000"/>
          <w:sz w:val="20"/>
          <w:szCs w:val="20"/>
        </w:rPr>
        <w:t xml:space="preserve">agriculture data </w:t>
      </w:r>
      <w:r w:rsidRPr="00C85766">
        <w:rPr>
          <w:rFonts w:ascii="Century Gothic" w:eastAsia="Times New Roman" w:hAnsi="Century Gothic"/>
          <w:color w:val="000000"/>
          <w:sz w:val="20"/>
          <w:szCs w:val="20"/>
        </w:rPr>
        <w:t>– animal agriculture density</w:t>
      </w:r>
      <w:r w:rsidR="009457C9">
        <w:rPr>
          <w:rFonts w:ascii="Century Gothic" w:eastAsia="Times New Roman" w:hAnsi="Century Gothic"/>
          <w:color w:val="000000"/>
          <w:sz w:val="20"/>
          <w:szCs w:val="20"/>
        </w:rPr>
        <w:t xml:space="preserve"> for cattle, goats, and chickens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r w:rsidR="00A22A42">
        <w:rPr>
          <w:rFonts w:ascii="Century Gothic" w:hAnsi="Century Gothic" w:cs="Arial"/>
          <w:b/>
          <w:sz w:val="20"/>
          <w:szCs w:val="20"/>
        </w:rPr>
        <w:t>:</w:t>
      </w:r>
    </w:p>
    <w:p w14:paraId="7B971981" w14:textId="29278885" w:rsidR="00603BB8" w:rsidRDefault="00C85766" w:rsidP="00603BB8">
      <w:pPr>
        <w:pStyle w:val="ListParagraph"/>
        <w:numPr>
          <w:ilvl w:val="0"/>
          <w:numId w:val="12"/>
        </w:numPr>
        <w:spacing w:after="0" w:line="240" w:lineRule="auto"/>
        <w:rPr>
          <w:rFonts w:ascii="Century Gothic" w:hAnsi="Century Gothic" w:cs="Arial"/>
          <w:sz w:val="20"/>
          <w:szCs w:val="20"/>
        </w:rPr>
      </w:pPr>
      <w:r>
        <w:rPr>
          <w:rFonts w:ascii="Century Gothic" w:hAnsi="Century Gothic" w:cs="Arial"/>
          <w:sz w:val="20"/>
          <w:szCs w:val="20"/>
        </w:rPr>
        <w:t>TerrSet Land Change Modeler (LCM)</w:t>
      </w:r>
      <w:r w:rsidR="009457C9">
        <w:rPr>
          <w:rFonts w:ascii="Century Gothic" w:hAnsi="Century Gothic" w:cs="Arial"/>
          <w:sz w:val="20"/>
          <w:szCs w:val="20"/>
        </w:rPr>
        <w:t xml:space="preserve"> – generating future land cover projections</w:t>
      </w:r>
    </w:p>
    <w:p w14:paraId="5E8B8026" w14:textId="77777777" w:rsidR="00C85766" w:rsidRPr="00C85766" w:rsidRDefault="00C85766" w:rsidP="00C85766">
      <w:pPr>
        <w:pStyle w:val="ListParagraph"/>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0A2BD6B1" w14:textId="77777777" w:rsidR="00C85766" w:rsidRPr="00C85766" w:rsidRDefault="00C85766" w:rsidP="00C85766">
      <w:pPr>
        <w:numPr>
          <w:ilvl w:val="0"/>
          <w:numId w:val="15"/>
        </w:numPr>
        <w:spacing w:after="0" w:line="240" w:lineRule="auto"/>
        <w:textAlignment w:val="baseline"/>
        <w:rPr>
          <w:rFonts w:ascii="Century Gothic" w:eastAsia="Times New Roman" w:hAnsi="Century Gothic"/>
          <w:color w:val="000000"/>
          <w:sz w:val="20"/>
          <w:szCs w:val="20"/>
        </w:rPr>
      </w:pPr>
      <w:r w:rsidRPr="00C85766">
        <w:rPr>
          <w:rFonts w:ascii="Century Gothic" w:eastAsia="Times New Roman" w:hAnsi="Century Gothic"/>
          <w:color w:val="000000"/>
          <w:sz w:val="20"/>
          <w:szCs w:val="20"/>
        </w:rPr>
        <w:t>Google Earth Engine – acquisition, processing and classification of satellite imagery</w:t>
      </w:r>
    </w:p>
    <w:p w14:paraId="4ED7EAD0" w14:textId="29EE5EA7" w:rsidR="00C85766" w:rsidRPr="00C85766" w:rsidRDefault="00C85766" w:rsidP="00C85766">
      <w:pPr>
        <w:numPr>
          <w:ilvl w:val="0"/>
          <w:numId w:val="15"/>
        </w:numPr>
        <w:spacing w:after="0" w:line="240" w:lineRule="auto"/>
        <w:textAlignment w:val="baseline"/>
        <w:rPr>
          <w:rFonts w:ascii="Century Gothic" w:eastAsia="Times New Roman" w:hAnsi="Century Gothic"/>
          <w:color w:val="000000"/>
          <w:sz w:val="20"/>
          <w:szCs w:val="20"/>
        </w:rPr>
      </w:pPr>
      <w:r w:rsidRPr="00C85766">
        <w:rPr>
          <w:rFonts w:ascii="Century Gothic" w:eastAsia="Times New Roman" w:hAnsi="Century Gothic"/>
          <w:color w:val="000000"/>
          <w:sz w:val="20"/>
          <w:szCs w:val="20"/>
        </w:rPr>
        <w:t>TerrSet – estimating biomass and carbon sequestrati</w:t>
      </w:r>
      <w:r w:rsidR="003529F6">
        <w:rPr>
          <w:rFonts w:ascii="Century Gothic" w:eastAsia="Times New Roman" w:hAnsi="Century Gothic"/>
          <w:color w:val="000000"/>
          <w:sz w:val="20"/>
          <w:szCs w:val="20"/>
        </w:rPr>
        <w:t>on with Land Change Modeler</w:t>
      </w:r>
    </w:p>
    <w:p w14:paraId="4C581556" w14:textId="12B5BE98" w:rsidR="00C85766" w:rsidRPr="00C85766" w:rsidRDefault="0037622F" w:rsidP="00C85766">
      <w:pPr>
        <w:numPr>
          <w:ilvl w:val="0"/>
          <w:numId w:val="16"/>
        </w:numPr>
        <w:spacing w:after="0" w:line="240" w:lineRule="auto"/>
        <w:textAlignment w:val="baseline"/>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 xml:space="preserve">ESRI </w:t>
      </w:r>
      <w:r w:rsidR="00C85766" w:rsidRPr="00C85766">
        <w:rPr>
          <w:rFonts w:ascii="Century Gothic" w:eastAsia="Times New Roman" w:hAnsi="Century Gothic" w:cs="Arial"/>
          <w:color w:val="000000"/>
          <w:sz w:val="20"/>
          <w:szCs w:val="20"/>
        </w:rPr>
        <w:t>ArcGIS – image visualization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485296DD" w:rsidR="003F68F5" w:rsidRDefault="000737A8" w:rsidP="003F68F5">
      <w:pPr>
        <w:spacing w:after="0" w:line="240" w:lineRule="auto"/>
        <w:rPr>
          <w:rFonts w:ascii="Century Gothic" w:hAnsi="Century Gothic"/>
          <w:color w:val="000000"/>
          <w:sz w:val="20"/>
          <w:szCs w:val="20"/>
        </w:rPr>
      </w:pPr>
      <w:r>
        <w:rPr>
          <w:rFonts w:ascii="Century Gothic" w:hAnsi="Century Gothic"/>
          <w:color w:val="000000"/>
          <w:sz w:val="20"/>
          <w:szCs w:val="20"/>
        </w:rPr>
        <w:t xml:space="preserve">Decades of deforestation </w:t>
      </w:r>
      <w:r w:rsidR="000E6C80" w:rsidRPr="000E6C80">
        <w:rPr>
          <w:rFonts w:ascii="Century Gothic" w:hAnsi="Century Gothic"/>
          <w:color w:val="000000"/>
          <w:sz w:val="20"/>
          <w:szCs w:val="20"/>
        </w:rPr>
        <w:t>in Kenya decreased closed canopy forest cover from</w:t>
      </w:r>
      <w:r>
        <w:rPr>
          <w:rFonts w:ascii="Century Gothic" w:hAnsi="Century Gothic"/>
          <w:color w:val="000000"/>
          <w:sz w:val="20"/>
          <w:szCs w:val="20"/>
        </w:rPr>
        <w:t xml:space="preserve"> the original</w:t>
      </w:r>
      <w:r w:rsidR="000E6C80" w:rsidRPr="000E6C80">
        <w:rPr>
          <w:rFonts w:ascii="Century Gothic" w:hAnsi="Century Gothic"/>
          <w:color w:val="000000"/>
          <w:sz w:val="20"/>
          <w:szCs w:val="20"/>
        </w:rPr>
        <w:t xml:space="preserve"> 12</w:t>
      </w:r>
      <w:r w:rsidR="00DC796D">
        <w:rPr>
          <w:rFonts w:ascii="Century Gothic" w:hAnsi="Century Gothic"/>
          <w:color w:val="000000"/>
          <w:sz w:val="20"/>
          <w:szCs w:val="20"/>
        </w:rPr>
        <w:t>%</w:t>
      </w:r>
      <w:r w:rsidR="000E6C80" w:rsidRPr="000E6C80">
        <w:rPr>
          <w:rFonts w:ascii="Century Gothic" w:hAnsi="Century Gothic"/>
          <w:color w:val="000000"/>
          <w:sz w:val="20"/>
          <w:szCs w:val="20"/>
        </w:rPr>
        <w:t xml:space="preserve"> </w:t>
      </w:r>
      <w:r>
        <w:rPr>
          <w:rFonts w:ascii="Century Gothic" w:hAnsi="Century Gothic"/>
          <w:color w:val="000000"/>
          <w:sz w:val="20"/>
          <w:szCs w:val="20"/>
        </w:rPr>
        <w:t xml:space="preserve">coverage </w:t>
      </w:r>
      <w:r w:rsidR="000E6C80" w:rsidRPr="000E6C80">
        <w:rPr>
          <w:rFonts w:ascii="Century Gothic" w:hAnsi="Century Gothic"/>
          <w:color w:val="000000"/>
          <w:sz w:val="20"/>
          <w:szCs w:val="20"/>
        </w:rPr>
        <w:t>to only 2</w:t>
      </w:r>
      <w:r w:rsidR="00DC796D">
        <w:rPr>
          <w:rFonts w:ascii="Century Gothic" w:hAnsi="Century Gothic"/>
          <w:color w:val="000000"/>
          <w:sz w:val="20"/>
          <w:szCs w:val="20"/>
        </w:rPr>
        <w:t>%</w:t>
      </w:r>
      <w:r>
        <w:rPr>
          <w:rFonts w:ascii="Century Gothic" w:hAnsi="Century Gothic"/>
          <w:color w:val="000000"/>
          <w:sz w:val="20"/>
          <w:szCs w:val="20"/>
        </w:rPr>
        <w:t xml:space="preserve"> by 2010</w:t>
      </w:r>
      <w:r w:rsidR="000E6C80" w:rsidRPr="000E6C80">
        <w:rPr>
          <w:rFonts w:ascii="Century Gothic" w:hAnsi="Century Gothic"/>
          <w:color w:val="000000"/>
          <w:sz w:val="20"/>
          <w:szCs w:val="20"/>
        </w:rPr>
        <w:t>. In order to decrease deforestation and protect biodiversity, the Global Environment Facility</w:t>
      </w:r>
      <w:r>
        <w:rPr>
          <w:rFonts w:ascii="Century Gothic" w:hAnsi="Century Gothic"/>
          <w:color w:val="000000"/>
          <w:sz w:val="20"/>
          <w:szCs w:val="20"/>
        </w:rPr>
        <w:t xml:space="preserve"> (GEF) funded the creation of 12</w:t>
      </w:r>
      <w:r w:rsidR="000E6C80" w:rsidRPr="000E6C80">
        <w:rPr>
          <w:rFonts w:ascii="Century Gothic" w:hAnsi="Century Gothic"/>
          <w:color w:val="000000"/>
          <w:sz w:val="20"/>
          <w:szCs w:val="20"/>
        </w:rPr>
        <w:t xml:space="preserve"> protected areas (PA</w:t>
      </w:r>
      <w:r w:rsidR="00763CBB">
        <w:rPr>
          <w:rFonts w:ascii="Century Gothic" w:hAnsi="Century Gothic"/>
          <w:color w:val="000000"/>
          <w:sz w:val="20"/>
          <w:szCs w:val="20"/>
        </w:rPr>
        <w:t>s</w:t>
      </w:r>
      <w:r w:rsidR="000E6C80" w:rsidRPr="000E6C80">
        <w:rPr>
          <w:rFonts w:ascii="Century Gothic" w:hAnsi="Century Gothic"/>
          <w:color w:val="000000"/>
          <w:sz w:val="20"/>
          <w:szCs w:val="20"/>
        </w:rPr>
        <w:t>) throughout the country. These PAs may also provide a co-benefit of climate change mitigation through increased carbon sequestration. By analyzing changes in land cover, the team provided GEF with past and projected biomass and above</w:t>
      </w:r>
      <w:r w:rsidR="005858DE">
        <w:rPr>
          <w:rFonts w:ascii="Century Gothic" w:hAnsi="Century Gothic"/>
          <w:color w:val="000000"/>
          <w:sz w:val="20"/>
          <w:szCs w:val="20"/>
        </w:rPr>
        <w:t>-</w:t>
      </w:r>
      <w:r>
        <w:rPr>
          <w:rFonts w:ascii="Century Gothic" w:hAnsi="Century Gothic"/>
          <w:color w:val="000000"/>
          <w:sz w:val="20"/>
          <w:szCs w:val="20"/>
        </w:rPr>
        <w:t>ground carbon stock estimates</w:t>
      </w:r>
      <w:r w:rsidR="000E6C80" w:rsidRPr="000E6C80">
        <w:rPr>
          <w:rFonts w:ascii="Century Gothic" w:hAnsi="Century Gothic"/>
          <w:color w:val="000000"/>
          <w:sz w:val="20"/>
          <w:szCs w:val="20"/>
        </w:rPr>
        <w:t xml:space="preserve"> to aid in future policy and programmatic decisions.</w:t>
      </w:r>
    </w:p>
    <w:p w14:paraId="3CA1EE9E" w14:textId="77777777" w:rsidR="000E6C80" w:rsidRPr="000E6C80" w:rsidRDefault="000E6C80"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6B056077" w:rsidR="003F68F5" w:rsidRPr="000E6C80" w:rsidRDefault="000E6C80" w:rsidP="003F68F5">
      <w:pPr>
        <w:spacing w:after="0" w:line="240" w:lineRule="auto"/>
        <w:rPr>
          <w:rFonts w:ascii="Century Gothic" w:hAnsi="Century Gothic"/>
          <w:color w:val="000000"/>
          <w:sz w:val="20"/>
          <w:szCs w:val="20"/>
        </w:rPr>
      </w:pPr>
      <w:r w:rsidRPr="000E6C80">
        <w:rPr>
          <w:rFonts w:ascii="Century Gothic" w:hAnsi="Century Gothic"/>
          <w:color w:val="000000"/>
          <w:sz w:val="20"/>
          <w:szCs w:val="20"/>
        </w:rPr>
        <w:t xml:space="preserve">Global deforestation continues to pose a major environmental problem that threatens biodiversity and increases the number of species facing extinction. In Kenya and worldwide, agriculture is the main driver of forest conversion. Each year, Kenya loses 12,000 hectares (ha) of forest out of its total 4.34 million ha. In order to increase forest cover and protect biodiversity, the Global Environment Facility (GEF) funded </w:t>
      </w:r>
      <w:r w:rsidR="00335362">
        <w:rPr>
          <w:rFonts w:ascii="Century Gothic" w:hAnsi="Century Gothic"/>
          <w:bCs/>
          <w:color w:val="000000"/>
          <w:sz w:val="20"/>
          <w:szCs w:val="20"/>
        </w:rPr>
        <w:t>projects to establish 12</w:t>
      </w:r>
      <w:r w:rsidRPr="00776186">
        <w:rPr>
          <w:rFonts w:ascii="Century Gothic" w:hAnsi="Century Gothic"/>
          <w:bCs/>
          <w:color w:val="000000"/>
          <w:sz w:val="20"/>
          <w:szCs w:val="20"/>
        </w:rPr>
        <w:t xml:space="preserve"> </w:t>
      </w:r>
      <w:r w:rsidR="00763CBB">
        <w:rPr>
          <w:rFonts w:ascii="Century Gothic" w:hAnsi="Century Gothic"/>
          <w:bCs/>
          <w:color w:val="000000"/>
          <w:sz w:val="20"/>
          <w:szCs w:val="20"/>
        </w:rPr>
        <w:t>protected areas (</w:t>
      </w:r>
      <w:r w:rsidRPr="00776186">
        <w:rPr>
          <w:rFonts w:ascii="Century Gothic" w:hAnsi="Century Gothic"/>
          <w:color w:val="000000"/>
          <w:sz w:val="20"/>
          <w:szCs w:val="20"/>
        </w:rPr>
        <w:t>P</w:t>
      </w:r>
      <w:r w:rsidR="00763CBB">
        <w:rPr>
          <w:rFonts w:ascii="Century Gothic" w:hAnsi="Century Gothic"/>
          <w:color w:val="000000"/>
          <w:sz w:val="20"/>
          <w:szCs w:val="20"/>
        </w:rPr>
        <w:t>A</w:t>
      </w:r>
      <w:r w:rsidRPr="00776186">
        <w:rPr>
          <w:rFonts w:ascii="Century Gothic" w:hAnsi="Century Gothic"/>
          <w:color w:val="000000"/>
          <w:sz w:val="20"/>
          <w:szCs w:val="20"/>
        </w:rPr>
        <w:t>s</w:t>
      </w:r>
      <w:r w:rsidR="00763CBB">
        <w:rPr>
          <w:rFonts w:ascii="Century Gothic" w:hAnsi="Century Gothic"/>
          <w:color w:val="000000"/>
          <w:sz w:val="20"/>
          <w:szCs w:val="20"/>
        </w:rPr>
        <w:t>)</w:t>
      </w:r>
      <w:r w:rsidRPr="00776186">
        <w:rPr>
          <w:rFonts w:ascii="Century Gothic" w:hAnsi="Century Gothic"/>
          <w:color w:val="000000"/>
          <w:sz w:val="20"/>
          <w:szCs w:val="20"/>
        </w:rPr>
        <w:t xml:space="preserve"> within Kenya from </w:t>
      </w:r>
      <w:r w:rsidR="00776186" w:rsidRPr="00776186">
        <w:rPr>
          <w:rFonts w:ascii="Century Gothic" w:hAnsi="Century Gothic"/>
          <w:bCs/>
          <w:color w:val="000000"/>
          <w:sz w:val="20"/>
          <w:szCs w:val="20"/>
        </w:rPr>
        <w:t xml:space="preserve">1995-2008. </w:t>
      </w:r>
      <w:r w:rsidRPr="000E6C80">
        <w:rPr>
          <w:rFonts w:ascii="Century Gothic" w:hAnsi="Century Gothic"/>
          <w:color w:val="000000"/>
          <w:sz w:val="20"/>
          <w:szCs w:val="20"/>
        </w:rPr>
        <w:t>Currently, GEF utilizes a global dataset to track</w:t>
      </w:r>
      <w:r w:rsidR="00776186">
        <w:rPr>
          <w:rFonts w:ascii="Century Gothic" w:hAnsi="Century Gothic"/>
          <w:color w:val="000000"/>
          <w:sz w:val="20"/>
          <w:szCs w:val="20"/>
        </w:rPr>
        <w:t xml:space="preserve"> only</w:t>
      </w:r>
      <w:r w:rsidRPr="000E6C80">
        <w:rPr>
          <w:rFonts w:ascii="Century Gothic" w:hAnsi="Century Gothic"/>
          <w:color w:val="000000"/>
          <w:sz w:val="20"/>
          <w:szCs w:val="20"/>
        </w:rPr>
        <w:t xml:space="preserve"> </w:t>
      </w:r>
      <w:r w:rsidR="00C61FC0">
        <w:rPr>
          <w:rFonts w:ascii="Century Gothic" w:hAnsi="Century Gothic"/>
          <w:color w:val="000000"/>
          <w:sz w:val="20"/>
          <w:szCs w:val="20"/>
        </w:rPr>
        <w:t xml:space="preserve">change in forest cover </w:t>
      </w:r>
      <w:r w:rsidRPr="000E6C80">
        <w:rPr>
          <w:rFonts w:ascii="Century Gothic" w:hAnsi="Century Gothic"/>
          <w:color w:val="000000"/>
          <w:sz w:val="20"/>
          <w:szCs w:val="20"/>
        </w:rPr>
        <w:t>in the PAs. Creating maps of past and forecasted above</w:t>
      </w:r>
      <w:r w:rsidR="00776186">
        <w:rPr>
          <w:rFonts w:ascii="Century Gothic" w:hAnsi="Century Gothic"/>
          <w:color w:val="000000"/>
          <w:sz w:val="20"/>
          <w:szCs w:val="20"/>
        </w:rPr>
        <w:t>-</w:t>
      </w:r>
      <w:r w:rsidR="006152F3">
        <w:rPr>
          <w:rFonts w:ascii="Century Gothic" w:hAnsi="Century Gothic"/>
          <w:color w:val="000000"/>
          <w:sz w:val="20"/>
          <w:szCs w:val="20"/>
        </w:rPr>
        <w:t xml:space="preserve">ground carbon </w:t>
      </w:r>
      <w:r w:rsidRPr="000E6C80">
        <w:rPr>
          <w:rFonts w:ascii="Century Gothic" w:hAnsi="Century Gothic"/>
          <w:color w:val="000000"/>
          <w:sz w:val="20"/>
          <w:szCs w:val="20"/>
        </w:rPr>
        <w:t>estimates will enable GEF to gain a better understanding of how the PAs are both conserving biodiversity and addressing climate change mitigation through carbon sequestration. Using Landsat 5 TM, Landsat 7 ETM+, and</w:t>
      </w:r>
      <w:r w:rsidR="00776186">
        <w:rPr>
          <w:rFonts w:ascii="Century Gothic" w:hAnsi="Century Gothic"/>
          <w:color w:val="000000"/>
          <w:sz w:val="20"/>
          <w:szCs w:val="20"/>
        </w:rPr>
        <w:t xml:space="preserve"> Landsat 8 OLI imagery from 1995</w:t>
      </w:r>
      <w:r w:rsidRPr="000E6C80">
        <w:rPr>
          <w:rFonts w:ascii="Century Gothic" w:hAnsi="Century Gothic"/>
          <w:color w:val="000000"/>
          <w:sz w:val="20"/>
          <w:szCs w:val="20"/>
        </w:rPr>
        <w:t xml:space="preserve">-2016, land cover in each PA was classified to map </w:t>
      </w:r>
      <w:r w:rsidR="00776186">
        <w:rPr>
          <w:rFonts w:ascii="Century Gothic" w:hAnsi="Century Gothic"/>
          <w:color w:val="000000"/>
          <w:sz w:val="20"/>
          <w:szCs w:val="20"/>
        </w:rPr>
        <w:t xml:space="preserve">past </w:t>
      </w:r>
      <w:r w:rsidRPr="000E6C80">
        <w:rPr>
          <w:rFonts w:ascii="Century Gothic" w:hAnsi="Century Gothic"/>
          <w:color w:val="000000"/>
          <w:sz w:val="20"/>
          <w:szCs w:val="20"/>
        </w:rPr>
        <w:t>changes in forest cover</w:t>
      </w:r>
      <w:r w:rsidR="00776186">
        <w:rPr>
          <w:rFonts w:ascii="Century Gothic" w:hAnsi="Century Gothic"/>
          <w:color w:val="000000"/>
          <w:sz w:val="20"/>
          <w:szCs w:val="20"/>
        </w:rPr>
        <w:t xml:space="preserve"> and above-ground carbon stock</w:t>
      </w:r>
      <w:r w:rsidRPr="000E6C80">
        <w:rPr>
          <w:rFonts w:ascii="Century Gothic" w:hAnsi="Century Gothic"/>
          <w:color w:val="000000"/>
          <w:sz w:val="20"/>
          <w:szCs w:val="20"/>
        </w:rPr>
        <w:t>. Additionally, these maps were processed with ancillary datasets in TerrSet Land Change Modeler to foreca</w:t>
      </w:r>
      <w:r w:rsidR="006152F3">
        <w:rPr>
          <w:rFonts w:ascii="Century Gothic" w:hAnsi="Century Gothic"/>
          <w:color w:val="000000"/>
          <w:sz w:val="20"/>
          <w:szCs w:val="20"/>
        </w:rPr>
        <w:t>st above-ground carbon stocks for</w:t>
      </w:r>
      <w:r w:rsidRPr="000E6C80">
        <w:rPr>
          <w:rFonts w:ascii="Century Gothic" w:hAnsi="Century Gothic"/>
          <w:color w:val="000000"/>
          <w:sz w:val="20"/>
          <w:szCs w:val="20"/>
        </w:rPr>
        <w:t xml:space="preserve"> 2020 and 2030</w:t>
      </w:r>
      <w:r w:rsidR="006152F3">
        <w:rPr>
          <w:rFonts w:ascii="Century Gothic" w:hAnsi="Century Gothic"/>
          <w:color w:val="000000"/>
          <w:sz w:val="20"/>
          <w:szCs w:val="20"/>
        </w:rPr>
        <w:t>,</w:t>
      </w:r>
      <w:r w:rsidRPr="000E6C80">
        <w:rPr>
          <w:rFonts w:ascii="Century Gothic" w:hAnsi="Century Gothic"/>
          <w:color w:val="000000"/>
          <w:sz w:val="20"/>
          <w:szCs w:val="20"/>
        </w:rPr>
        <w:t xml:space="preserve"> given current deforestation rates. Final maps of past and forecasted </w:t>
      </w:r>
      <w:r w:rsidR="006152F3">
        <w:rPr>
          <w:rFonts w:ascii="Century Gothic" w:hAnsi="Century Gothic"/>
          <w:color w:val="000000"/>
          <w:sz w:val="20"/>
          <w:szCs w:val="20"/>
        </w:rPr>
        <w:t xml:space="preserve">above-ground carbon estimates </w:t>
      </w:r>
      <w:r w:rsidRPr="000E6C80">
        <w:rPr>
          <w:rFonts w:ascii="Century Gothic" w:hAnsi="Century Gothic"/>
          <w:color w:val="000000"/>
          <w:sz w:val="20"/>
          <w:szCs w:val="20"/>
        </w:rPr>
        <w:t>will aid GEF in future policy and program decisions.</w:t>
      </w:r>
    </w:p>
    <w:p w14:paraId="1E25A3F4" w14:textId="77777777" w:rsidR="000E6C80" w:rsidRDefault="000E6C80"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9A4BC83" w14:textId="28099EE0" w:rsidR="00B46F89" w:rsidRDefault="000E6C80" w:rsidP="00CC6870">
      <w:pPr>
        <w:spacing w:after="0" w:line="240" w:lineRule="auto"/>
        <w:rPr>
          <w:rFonts w:ascii="Century Gothic" w:hAnsi="Century Gothic"/>
          <w:color w:val="000000"/>
          <w:sz w:val="20"/>
          <w:szCs w:val="20"/>
        </w:rPr>
      </w:pPr>
      <w:r w:rsidRPr="000E6C80">
        <w:rPr>
          <w:rFonts w:ascii="Century Gothic" w:hAnsi="Century Gothic"/>
          <w:color w:val="000000"/>
          <w:sz w:val="20"/>
          <w:szCs w:val="20"/>
        </w:rPr>
        <w:t xml:space="preserve">Remote </w:t>
      </w:r>
      <w:r w:rsidR="00DC796D">
        <w:rPr>
          <w:rFonts w:ascii="Century Gothic" w:hAnsi="Century Gothic"/>
          <w:color w:val="000000"/>
          <w:sz w:val="20"/>
          <w:szCs w:val="20"/>
        </w:rPr>
        <w:t>s</w:t>
      </w:r>
      <w:r w:rsidRPr="000E6C80">
        <w:rPr>
          <w:rFonts w:ascii="Century Gothic" w:hAnsi="Century Gothic"/>
          <w:color w:val="000000"/>
          <w:sz w:val="20"/>
          <w:szCs w:val="20"/>
        </w:rPr>
        <w:t xml:space="preserve">ensing, </w:t>
      </w:r>
      <w:r w:rsidR="00DC796D">
        <w:rPr>
          <w:rFonts w:ascii="Century Gothic" w:hAnsi="Century Gothic"/>
          <w:color w:val="000000"/>
          <w:sz w:val="20"/>
          <w:szCs w:val="20"/>
        </w:rPr>
        <w:t>r</w:t>
      </w:r>
      <w:r w:rsidRPr="000E6C80">
        <w:rPr>
          <w:rFonts w:ascii="Century Gothic" w:hAnsi="Century Gothic"/>
          <w:color w:val="000000"/>
          <w:sz w:val="20"/>
          <w:szCs w:val="20"/>
        </w:rPr>
        <w:t xml:space="preserve">andom </w:t>
      </w:r>
      <w:r w:rsidR="00DC796D">
        <w:rPr>
          <w:rFonts w:ascii="Century Gothic" w:hAnsi="Century Gothic"/>
          <w:color w:val="000000"/>
          <w:sz w:val="20"/>
          <w:szCs w:val="20"/>
        </w:rPr>
        <w:t>f</w:t>
      </w:r>
      <w:r w:rsidRPr="000E6C80">
        <w:rPr>
          <w:rFonts w:ascii="Century Gothic" w:hAnsi="Century Gothic"/>
          <w:color w:val="000000"/>
          <w:sz w:val="20"/>
          <w:szCs w:val="20"/>
        </w:rPr>
        <w:t xml:space="preserve">orest, </w:t>
      </w:r>
      <w:r w:rsidR="00DC796D">
        <w:rPr>
          <w:rFonts w:ascii="Century Gothic" w:hAnsi="Century Gothic"/>
          <w:color w:val="000000"/>
          <w:sz w:val="20"/>
          <w:szCs w:val="20"/>
        </w:rPr>
        <w:t>s</w:t>
      </w:r>
      <w:r w:rsidRPr="000E6C80">
        <w:rPr>
          <w:rFonts w:ascii="Century Gothic" w:hAnsi="Century Gothic"/>
          <w:color w:val="000000"/>
          <w:sz w:val="20"/>
          <w:szCs w:val="20"/>
        </w:rPr>
        <w:t>u</w:t>
      </w:r>
      <w:r w:rsidR="00776186">
        <w:rPr>
          <w:rFonts w:ascii="Century Gothic" w:hAnsi="Century Gothic"/>
          <w:color w:val="000000"/>
          <w:sz w:val="20"/>
          <w:szCs w:val="20"/>
        </w:rPr>
        <w:t xml:space="preserve">pport </w:t>
      </w:r>
      <w:r w:rsidR="00DC796D">
        <w:rPr>
          <w:rFonts w:ascii="Century Gothic" w:hAnsi="Century Gothic"/>
          <w:color w:val="000000"/>
          <w:sz w:val="20"/>
          <w:szCs w:val="20"/>
        </w:rPr>
        <w:t>v</w:t>
      </w:r>
      <w:r w:rsidR="00776186">
        <w:rPr>
          <w:rFonts w:ascii="Century Gothic" w:hAnsi="Century Gothic"/>
          <w:color w:val="000000"/>
          <w:sz w:val="20"/>
          <w:szCs w:val="20"/>
        </w:rPr>
        <w:t xml:space="preserve">ector </w:t>
      </w:r>
      <w:r w:rsidR="00DC796D">
        <w:rPr>
          <w:rFonts w:ascii="Century Gothic" w:hAnsi="Century Gothic"/>
          <w:color w:val="000000"/>
          <w:sz w:val="20"/>
          <w:szCs w:val="20"/>
        </w:rPr>
        <w:t>m</w:t>
      </w:r>
      <w:r w:rsidR="00776186">
        <w:rPr>
          <w:rFonts w:ascii="Century Gothic" w:hAnsi="Century Gothic"/>
          <w:color w:val="000000"/>
          <w:sz w:val="20"/>
          <w:szCs w:val="20"/>
        </w:rPr>
        <w:t xml:space="preserve">achine, Landsat, </w:t>
      </w:r>
      <w:r w:rsidR="00DC796D">
        <w:rPr>
          <w:rFonts w:ascii="Century Gothic" w:hAnsi="Century Gothic"/>
          <w:color w:val="000000"/>
          <w:sz w:val="20"/>
          <w:szCs w:val="20"/>
        </w:rPr>
        <w:t>c</w:t>
      </w:r>
      <w:r w:rsidRPr="000E6C80">
        <w:rPr>
          <w:rFonts w:ascii="Century Gothic" w:hAnsi="Century Gothic"/>
          <w:color w:val="000000"/>
          <w:sz w:val="20"/>
          <w:szCs w:val="20"/>
        </w:rPr>
        <w:t xml:space="preserve">arbon </w:t>
      </w:r>
      <w:r w:rsidR="00DC796D">
        <w:rPr>
          <w:rFonts w:ascii="Century Gothic" w:hAnsi="Century Gothic"/>
          <w:color w:val="000000"/>
          <w:sz w:val="20"/>
          <w:szCs w:val="20"/>
        </w:rPr>
        <w:t>s</w:t>
      </w:r>
      <w:r w:rsidRPr="000E6C80">
        <w:rPr>
          <w:rFonts w:ascii="Century Gothic" w:hAnsi="Century Gothic"/>
          <w:color w:val="000000"/>
          <w:sz w:val="20"/>
          <w:szCs w:val="20"/>
        </w:rPr>
        <w:t xml:space="preserve">equestration, </w:t>
      </w:r>
      <w:r w:rsidR="00DC796D">
        <w:rPr>
          <w:rFonts w:ascii="Century Gothic" w:hAnsi="Century Gothic"/>
          <w:color w:val="000000"/>
          <w:sz w:val="20"/>
          <w:szCs w:val="20"/>
        </w:rPr>
        <w:t>p</w:t>
      </w:r>
      <w:r w:rsidRPr="000E6C80">
        <w:rPr>
          <w:rFonts w:ascii="Century Gothic" w:hAnsi="Century Gothic"/>
          <w:color w:val="000000"/>
          <w:sz w:val="20"/>
          <w:szCs w:val="20"/>
        </w:rPr>
        <w:t xml:space="preserve">rotected </w:t>
      </w:r>
      <w:r w:rsidR="00DC796D">
        <w:rPr>
          <w:rFonts w:ascii="Century Gothic" w:hAnsi="Century Gothic"/>
          <w:color w:val="000000"/>
          <w:sz w:val="20"/>
          <w:szCs w:val="20"/>
        </w:rPr>
        <w:t>a</w:t>
      </w:r>
      <w:r w:rsidRPr="000E6C80">
        <w:rPr>
          <w:rFonts w:ascii="Century Gothic" w:hAnsi="Century Gothic"/>
          <w:color w:val="000000"/>
          <w:sz w:val="20"/>
          <w:szCs w:val="20"/>
        </w:rPr>
        <w:t>reas, Land Change Modeler, Google Earth Engine</w:t>
      </w:r>
    </w:p>
    <w:p w14:paraId="0CC67F08" w14:textId="77777777" w:rsidR="000E6C80" w:rsidRPr="000E6C80" w:rsidRDefault="000E6C80"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62316A2" w14:textId="036033C6" w:rsidR="000E6C80" w:rsidRDefault="000E6C80" w:rsidP="00C61FC0">
      <w:pPr>
        <w:numPr>
          <w:ilvl w:val="0"/>
          <w:numId w:val="17"/>
        </w:numPr>
        <w:spacing w:after="0" w:line="240" w:lineRule="auto"/>
        <w:ind w:hanging="300"/>
        <w:textAlignment w:val="baseline"/>
        <w:rPr>
          <w:rFonts w:ascii="Century Gothic" w:eastAsia="Times New Roman" w:hAnsi="Century Gothic" w:cs="Arial"/>
          <w:color w:val="000000"/>
          <w:sz w:val="20"/>
          <w:szCs w:val="20"/>
        </w:rPr>
      </w:pPr>
      <w:r w:rsidRPr="000E6C80">
        <w:rPr>
          <w:rFonts w:ascii="Century Gothic" w:eastAsia="Times New Roman" w:hAnsi="Century Gothic" w:cs="Arial"/>
          <w:color w:val="000000"/>
          <w:sz w:val="20"/>
          <w:szCs w:val="20"/>
        </w:rPr>
        <w:t>Kenya’s forest c</w:t>
      </w:r>
      <w:r w:rsidR="003529F6">
        <w:rPr>
          <w:rFonts w:ascii="Century Gothic" w:eastAsia="Times New Roman" w:hAnsi="Century Gothic" w:cs="Arial"/>
          <w:color w:val="000000"/>
          <w:sz w:val="20"/>
          <w:szCs w:val="20"/>
        </w:rPr>
        <w:t>over spans 4.34 million ha</w:t>
      </w:r>
      <w:r w:rsidRPr="000E6C80">
        <w:rPr>
          <w:rFonts w:ascii="Century Gothic" w:eastAsia="Times New Roman" w:hAnsi="Century Gothic" w:cs="Arial"/>
          <w:color w:val="000000"/>
          <w:sz w:val="20"/>
          <w:szCs w:val="20"/>
        </w:rPr>
        <w:t xml:space="preserve">. </w:t>
      </w:r>
      <w:r>
        <w:rPr>
          <w:rFonts w:ascii="Century Gothic" w:eastAsia="Times New Roman" w:hAnsi="Century Gothic" w:cs="Arial"/>
          <w:color w:val="000000"/>
          <w:sz w:val="20"/>
          <w:szCs w:val="20"/>
        </w:rPr>
        <w:t xml:space="preserve">Each year, the country loses an </w:t>
      </w:r>
      <w:r w:rsidR="003529F6">
        <w:rPr>
          <w:rFonts w:ascii="Century Gothic" w:eastAsia="Times New Roman" w:hAnsi="Century Gothic" w:cs="Arial"/>
          <w:color w:val="000000"/>
          <w:sz w:val="20"/>
          <w:szCs w:val="20"/>
        </w:rPr>
        <w:t>estimated 12,000 ha</w:t>
      </w:r>
      <w:r w:rsidRPr="000E6C80">
        <w:rPr>
          <w:rFonts w:ascii="Century Gothic" w:eastAsia="Times New Roman" w:hAnsi="Century Gothic" w:cs="Arial"/>
          <w:color w:val="000000"/>
          <w:sz w:val="20"/>
          <w:szCs w:val="20"/>
        </w:rPr>
        <w:t xml:space="preserve"> to deforestation, with agriculture being the primary driver of land conversion.</w:t>
      </w:r>
    </w:p>
    <w:p w14:paraId="6503BC46" w14:textId="5B5AC25D" w:rsidR="008A7C4D" w:rsidRDefault="008A7C4D" w:rsidP="000E6C80">
      <w:pPr>
        <w:numPr>
          <w:ilvl w:val="0"/>
          <w:numId w:val="17"/>
        </w:numPr>
        <w:spacing w:after="0" w:line="240" w:lineRule="auto"/>
        <w:ind w:hanging="300"/>
        <w:textAlignment w:val="baseline"/>
        <w:rPr>
          <w:rFonts w:ascii="Century Gothic" w:eastAsia="Times New Roman" w:hAnsi="Century Gothic" w:cs="Arial"/>
          <w:color w:val="000000"/>
          <w:sz w:val="20"/>
          <w:szCs w:val="20"/>
        </w:rPr>
      </w:pPr>
      <w:r w:rsidRPr="000E6C80">
        <w:rPr>
          <w:rFonts w:ascii="Century Gothic" w:hAnsi="Century Gothic"/>
          <w:color w:val="000000"/>
          <w:sz w:val="20"/>
          <w:szCs w:val="20"/>
        </w:rPr>
        <w:t>Between 1960 and 2010, deforestation in Kenya decreased closed canopy forest cover from 12% to only 2%.</w:t>
      </w:r>
    </w:p>
    <w:p w14:paraId="2B28067E" w14:textId="77777777" w:rsidR="000E6C80" w:rsidRDefault="000E6C80" w:rsidP="000E6C80">
      <w:pPr>
        <w:numPr>
          <w:ilvl w:val="0"/>
          <w:numId w:val="17"/>
        </w:numPr>
        <w:spacing w:after="0" w:line="240" w:lineRule="auto"/>
        <w:ind w:left="780"/>
        <w:textAlignment w:val="baseline"/>
        <w:rPr>
          <w:rFonts w:ascii="Century Gothic" w:eastAsia="Times New Roman" w:hAnsi="Century Gothic" w:cs="Arial"/>
          <w:color w:val="000000"/>
          <w:sz w:val="20"/>
          <w:szCs w:val="20"/>
        </w:rPr>
      </w:pPr>
      <w:r w:rsidRPr="000E6C80">
        <w:rPr>
          <w:rFonts w:ascii="Century Gothic" w:eastAsia="Times New Roman" w:hAnsi="Century Gothic" w:cs="Arial"/>
          <w:color w:val="000000"/>
          <w:sz w:val="20"/>
          <w:szCs w:val="20"/>
        </w:rPr>
        <w:t>Endemic species have seen decreased population sizes associated with loss of habitat.</w:t>
      </w:r>
    </w:p>
    <w:p w14:paraId="5365529B" w14:textId="5FBF4DDC" w:rsidR="00C61FC0" w:rsidRDefault="00C61FC0" w:rsidP="00C61FC0">
      <w:pPr>
        <w:numPr>
          <w:ilvl w:val="0"/>
          <w:numId w:val="17"/>
        </w:numPr>
        <w:spacing w:after="0" w:line="240" w:lineRule="auto"/>
        <w:ind w:hanging="300"/>
        <w:textAlignment w:val="baseline"/>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Climate models show Kenya’s annual temperature increasing with estimated seasonal temperature increases of 1.5-3◦C+ by 2100. Ho</w:t>
      </w:r>
      <w:r w:rsidR="00953246">
        <w:rPr>
          <w:rFonts w:ascii="Century Gothic" w:eastAsia="Times New Roman" w:hAnsi="Century Gothic" w:cs="Arial"/>
          <w:color w:val="000000"/>
          <w:sz w:val="20"/>
          <w:szCs w:val="20"/>
        </w:rPr>
        <w:t xml:space="preserve">tter summer months will also be </w:t>
      </w:r>
      <w:r>
        <w:rPr>
          <w:rFonts w:ascii="Century Gothic" w:eastAsia="Times New Roman" w:hAnsi="Century Gothic" w:cs="Arial"/>
          <w:color w:val="000000"/>
          <w:sz w:val="20"/>
          <w:szCs w:val="20"/>
        </w:rPr>
        <w:t>accompanied by drier conditions due to a weakening of the Somali Jet and Indian Monsoon.</w:t>
      </w:r>
    </w:p>
    <w:p w14:paraId="398DC7BF" w14:textId="77777777" w:rsidR="000E6C80" w:rsidRPr="000E6C80" w:rsidRDefault="000E6C80" w:rsidP="000E6C80">
      <w:pPr>
        <w:numPr>
          <w:ilvl w:val="0"/>
          <w:numId w:val="17"/>
        </w:numPr>
        <w:spacing w:after="0" w:line="240" w:lineRule="auto"/>
        <w:ind w:left="780"/>
        <w:textAlignment w:val="baseline"/>
        <w:rPr>
          <w:rFonts w:ascii="Century Gothic" w:eastAsia="Times New Roman" w:hAnsi="Century Gothic" w:cs="Arial"/>
          <w:color w:val="000000"/>
          <w:sz w:val="20"/>
          <w:szCs w:val="20"/>
        </w:rPr>
      </w:pPr>
      <w:r w:rsidRPr="000E6C80">
        <w:rPr>
          <w:rFonts w:ascii="Century Gothic" w:eastAsia="Times New Roman" w:hAnsi="Century Gothic" w:cs="Arial"/>
          <w:color w:val="000000"/>
          <w:sz w:val="20"/>
          <w:szCs w:val="20"/>
        </w:rPr>
        <w:t>Investing in protected areas does not necessarily lead to an increase in co-benefits.</w:t>
      </w:r>
    </w:p>
    <w:p w14:paraId="0F34B82A" w14:textId="1CAEF7A4" w:rsidR="000E6C80" w:rsidRPr="000E6C80" w:rsidRDefault="000E6C80" w:rsidP="000E6C80">
      <w:pPr>
        <w:numPr>
          <w:ilvl w:val="0"/>
          <w:numId w:val="17"/>
        </w:numPr>
        <w:spacing w:before="100" w:beforeAutospacing="1" w:after="100" w:afterAutospacing="1" w:line="240" w:lineRule="auto"/>
        <w:ind w:hanging="300"/>
        <w:textAlignment w:val="baseline"/>
        <w:rPr>
          <w:rFonts w:ascii="Century Gothic" w:eastAsia="Times New Roman" w:hAnsi="Century Gothic" w:cs="Arial"/>
          <w:color w:val="000000"/>
          <w:sz w:val="20"/>
          <w:szCs w:val="20"/>
        </w:rPr>
      </w:pPr>
      <w:r w:rsidRPr="000E6C80">
        <w:rPr>
          <w:rFonts w:ascii="Century Gothic" w:eastAsia="Times New Roman" w:hAnsi="Century Gothic" w:cs="Arial"/>
          <w:color w:val="000000"/>
          <w:sz w:val="20"/>
          <w:szCs w:val="20"/>
        </w:rPr>
        <w:lastRenderedPageBreak/>
        <w:t>Establishing method</w:t>
      </w:r>
      <w:r>
        <w:rPr>
          <w:rFonts w:ascii="Century Gothic" w:eastAsia="Times New Roman" w:hAnsi="Century Gothic" w:cs="Arial"/>
          <w:color w:val="000000"/>
          <w:sz w:val="20"/>
          <w:szCs w:val="20"/>
        </w:rPr>
        <w:t xml:space="preserve">s to consistently evaluate the </w:t>
      </w:r>
      <w:r w:rsidRPr="000E6C80">
        <w:rPr>
          <w:rFonts w:ascii="Century Gothic" w:eastAsia="Times New Roman" w:hAnsi="Century Gothic" w:cs="Arial"/>
          <w:color w:val="000000"/>
          <w:sz w:val="20"/>
          <w:szCs w:val="20"/>
        </w:rPr>
        <w:t>status of protected areas and quantify their associated benefits will aid policy makers, funders, and implementing partners in assessing their progress and planning future projects.</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332F290C" w:rsidR="00CC6870" w:rsidRDefault="000E6C80" w:rsidP="00CC6870">
      <w:pPr>
        <w:spacing w:after="0" w:line="240" w:lineRule="auto"/>
        <w:rPr>
          <w:rFonts w:ascii="Century Gothic" w:hAnsi="Century Gothic"/>
          <w:color w:val="000000"/>
          <w:sz w:val="20"/>
          <w:szCs w:val="20"/>
        </w:rPr>
      </w:pPr>
      <w:r w:rsidRPr="000E6C80">
        <w:rPr>
          <w:rFonts w:ascii="Century Gothic" w:hAnsi="Century Gothic"/>
          <w:color w:val="000000"/>
          <w:sz w:val="20"/>
          <w:szCs w:val="20"/>
        </w:rPr>
        <w:t>GEF currently evaluates the effects of protected areas on land cover using the Hansen et al. (2013) Global Forest Change dataset. The Hansen dataset leverages remotely-sensed data from Landsat 4, 5, 7, and 8 satellites to produce globally-resolved land cover change estimates at 30-meter resolution. Each GEF protected area includes a 25km buffer, and considers three land degradation indicators: (1) vegetation density</w:t>
      </w:r>
      <w:r w:rsidR="00E4268E">
        <w:rPr>
          <w:rFonts w:ascii="Century Gothic" w:hAnsi="Century Gothic"/>
          <w:color w:val="000000"/>
          <w:sz w:val="20"/>
          <w:szCs w:val="20"/>
        </w:rPr>
        <w:t>,</w:t>
      </w:r>
      <w:r w:rsidRPr="000E6C80">
        <w:rPr>
          <w:rFonts w:ascii="Century Gothic" w:hAnsi="Century Gothic"/>
          <w:color w:val="000000"/>
          <w:sz w:val="20"/>
          <w:szCs w:val="20"/>
        </w:rPr>
        <w:t xml:space="preserve"> (2) forest land cover</w:t>
      </w:r>
      <w:r w:rsidR="00E4268E">
        <w:rPr>
          <w:rFonts w:ascii="Century Gothic" w:hAnsi="Century Gothic"/>
          <w:color w:val="000000"/>
          <w:sz w:val="20"/>
          <w:szCs w:val="20"/>
        </w:rPr>
        <w:t>,</w:t>
      </w:r>
      <w:r w:rsidRPr="000E6C80">
        <w:rPr>
          <w:rFonts w:ascii="Century Gothic" w:hAnsi="Century Gothic"/>
          <w:color w:val="000000"/>
          <w:sz w:val="20"/>
          <w:szCs w:val="20"/>
        </w:rPr>
        <w:t xml:space="preserve"> and (3) forest fragmentation. This current method produces forest change estimates (e.g</w:t>
      </w:r>
      <w:r w:rsidR="0045085C">
        <w:rPr>
          <w:rFonts w:ascii="Century Gothic" w:hAnsi="Century Gothic"/>
          <w:color w:val="000000"/>
          <w:sz w:val="20"/>
          <w:szCs w:val="20"/>
        </w:rPr>
        <w:t xml:space="preserve">. percent forest loss or gain) </w:t>
      </w:r>
      <w:r w:rsidRPr="000E6C80">
        <w:rPr>
          <w:rFonts w:ascii="Century Gothic" w:hAnsi="Century Gothic"/>
          <w:color w:val="000000"/>
          <w:sz w:val="20"/>
          <w:szCs w:val="20"/>
        </w:rPr>
        <w:t xml:space="preserve">from 2000 through 2012. While the Hansen analysis provides a useful benchmark for understanding forest cover change on a global scale, it is less suited to local applications. GEF notes that the current method is most appropriately used for identifying potential areas of concern at a low cost, but should not be used to drive project-level decision-making without additional information. </w:t>
      </w:r>
      <w:r w:rsidR="006868AF">
        <w:rPr>
          <w:rFonts w:ascii="Century Gothic" w:hAnsi="Century Gothic"/>
          <w:color w:val="000000"/>
          <w:sz w:val="20"/>
          <w:szCs w:val="20"/>
        </w:rPr>
        <w:t xml:space="preserve">The </w:t>
      </w:r>
      <w:r w:rsidR="005B31C6">
        <w:rPr>
          <w:rFonts w:ascii="Century Gothic" w:hAnsi="Century Gothic"/>
          <w:color w:val="000000"/>
          <w:sz w:val="20"/>
          <w:szCs w:val="20"/>
        </w:rPr>
        <w:t>Hansen data</w:t>
      </w:r>
      <w:r w:rsidR="0017249F">
        <w:rPr>
          <w:rFonts w:ascii="Century Gothic" w:hAnsi="Century Gothic"/>
          <w:color w:val="000000"/>
          <w:sz w:val="20"/>
          <w:szCs w:val="20"/>
        </w:rPr>
        <w:t>set</w:t>
      </w:r>
      <w:r w:rsidRPr="000E6C80">
        <w:rPr>
          <w:rFonts w:ascii="Century Gothic" w:hAnsi="Century Gothic"/>
          <w:color w:val="000000"/>
          <w:sz w:val="20"/>
          <w:szCs w:val="20"/>
        </w:rPr>
        <w:t xml:space="preserve"> does not include any geospatial information prior to 2000, </w:t>
      </w:r>
      <w:r w:rsidR="00E545D4">
        <w:rPr>
          <w:rFonts w:ascii="Century Gothic" w:hAnsi="Century Gothic"/>
          <w:color w:val="000000"/>
          <w:sz w:val="20"/>
          <w:szCs w:val="20"/>
        </w:rPr>
        <w:t>so protected areas that were established earlier do not have a baseline</w:t>
      </w:r>
      <w:r w:rsidRPr="000E6C80">
        <w:rPr>
          <w:rFonts w:ascii="Century Gothic" w:hAnsi="Century Gothic"/>
          <w:color w:val="000000"/>
          <w:sz w:val="20"/>
          <w:szCs w:val="20"/>
        </w:rPr>
        <w:t>.</w:t>
      </w:r>
    </w:p>
    <w:p w14:paraId="5AB0F91F" w14:textId="77777777" w:rsidR="000E6C80" w:rsidRPr="000E6C80" w:rsidRDefault="000E6C80" w:rsidP="00CC6870">
      <w:pPr>
        <w:spacing w:after="0" w:line="240" w:lineRule="auto"/>
        <w:rPr>
          <w:rFonts w:ascii="Century Gothic" w:hAnsi="Century Gothic" w:cs="Arial"/>
          <w:b/>
          <w:sz w:val="20"/>
          <w:szCs w:val="20"/>
        </w:rPr>
      </w:pPr>
    </w:p>
    <w:p w14:paraId="2234D69B" w14:textId="7F5F17B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7E1D5F61" w:rsidR="00874847" w:rsidRPr="006152F3" w:rsidRDefault="003529F6" w:rsidP="00293D32">
            <w:pPr>
              <w:spacing w:after="0" w:line="240" w:lineRule="auto"/>
              <w:rPr>
                <w:rFonts w:ascii="Century Gothic" w:hAnsi="Century Gothic" w:cs="Arial"/>
                <w:sz w:val="20"/>
                <w:szCs w:val="20"/>
              </w:rPr>
            </w:pPr>
            <w:r>
              <w:rPr>
                <w:rFonts w:ascii="Century Gothic" w:hAnsi="Century Gothic"/>
                <w:color w:val="000000"/>
                <w:sz w:val="20"/>
                <w:szCs w:val="20"/>
              </w:rPr>
              <w:t>Past and f</w:t>
            </w:r>
            <w:r w:rsidR="00293D32">
              <w:rPr>
                <w:rFonts w:ascii="Century Gothic" w:hAnsi="Century Gothic"/>
                <w:color w:val="000000"/>
                <w:sz w:val="20"/>
                <w:szCs w:val="20"/>
              </w:rPr>
              <w:t xml:space="preserve">orecasted </w:t>
            </w:r>
            <w:r>
              <w:rPr>
                <w:rFonts w:ascii="Century Gothic" w:hAnsi="Century Gothic"/>
                <w:color w:val="000000"/>
                <w:sz w:val="20"/>
                <w:szCs w:val="20"/>
              </w:rPr>
              <w:t>a</w:t>
            </w:r>
            <w:r w:rsidR="00293D32">
              <w:rPr>
                <w:rFonts w:ascii="Century Gothic" w:hAnsi="Century Gothic"/>
                <w:color w:val="000000"/>
                <w:sz w:val="20"/>
                <w:szCs w:val="20"/>
              </w:rPr>
              <w:t>bove-</w:t>
            </w:r>
            <w:r w:rsidR="006152F3" w:rsidRPr="006152F3">
              <w:rPr>
                <w:rFonts w:ascii="Century Gothic" w:hAnsi="Century Gothic"/>
                <w:color w:val="000000"/>
                <w:sz w:val="20"/>
                <w:szCs w:val="20"/>
              </w:rPr>
              <w:t>ground carbon estimate</w:t>
            </w:r>
            <w:r>
              <w:rPr>
                <w:rFonts w:ascii="Century Gothic" w:hAnsi="Century Gothic"/>
                <w:color w:val="000000"/>
                <w:sz w:val="20"/>
                <w:szCs w:val="20"/>
              </w:rPr>
              <w:t>s for 2000, 2011, 2016, 2020, and 2030</w:t>
            </w:r>
          </w:p>
        </w:tc>
        <w:tc>
          <w:tcPr>
            <w:tcW w:w="2340" w:type="dxa"/>
          </w:tcPr>
          <w:p w14:paraId="0595BF43" w14:textId="7ECEBD44" w:rsidR="00874847" w:rsidRPr="00763CBB" w:rsidRDefault="006152F3" w:rsidP="00763CBB">
            <w:pPr>
              <w:spacing w:after="0" w:line="240" w:lineRule="auto"/>
              <w:rPr>
                <w:rFonts w:ascii="Century Gothic" w:eastAsia="Times New Roman" w:hAnsi="Century Gothic"/>
                <w:color w:val="000000"/>
                <w:sz w:val="20"/>
                <w:szCs w:val="20"/>
              </w:rPr>
            </w:pPr>
            <w:r w:rsidRPr="006152F3">
              <w:rPr>
                <w:rFonts w:ascii="Century Gothic" w:eastAsia="Times New Roman" w:hAnsi="Century Gothic"/>
                <w:color w:val="000000"/>
                <w:sz w:val="20"/>
                <w:szCs w:val="20"/>
              </w:rPr>
              <w:t>Landsat 5 TM, Landsat 7 ETM+, Landsat 8 OLI,</w:t>
            </w:r>
            <w:r w:rsidR="00763CBB">
              <w:rPr>
                <w:rFonts w:ascii="Century Gothic" w:eastAsia="Times New Roman" w:hAnsi="Century Gothic"/>
                <w:color w:val="000000"/>
                <w:sz w:val="20"/>
                <w:szCs w:val="20"/>
              </w:rPr>
              <w:t xml:space="preserve"> </w:t>
            </w:r>
            <w:r w:rsidRPr="006152F3">
              <w:rPr>
                <w:rFonts w:ascii="Century Gothic" w:eastAsia="Times New Roman" w:hAnsi="Century Gothic"/>
                <w:color w:val="000000"/>
                <w:sz w:val="20"/>
                <w:szCs w:val="20"/>
              </w:rPr>
              <w:t>QuickBird-2, WorldView-2, GeoEye-01</w:t>
            </w:r>
          </w:p>
        </w:tc>
        <w:tc>
          <w:tcPr>
            <w:tcW w:w="2511" w:type="dxa"/>
          </w:tcPr>
          <w:p w14:paraId="5CD72B01" w14:textId="6D9E9885" w:rsidR="00293D32" w:rsidRPr="00293D32" w:rsidRDefault="00293D32" w:rsidP="00132FC0">
            <w:pPr>
              <w:spacing w:after="0" w:line="240" w:lineRule="auto"/>
              <w:rPr>
                <w:rFonts w:ascii="Century Gothic" w:hAnsi="Century Gothic"/>
                <w:color w:val="000000"/>
                <w:sz w:val="20"/>
                <w:szCs w:val="20"/>
              </w:rPr>
            </w:pPr>
            <w:r w:rsidRPr="00293D32">
              <w:rPr>
                <w:rFonts w:ascii="Century Gothic" w:hAnsi="Century Gothic"/>
                <w:color w:val="000000"/>
                <w:sz w:val="20"/>
                <w:szCs w:val="20"/>
              </w:rPr>
              <w:t>Enhances GEF’s future decision making by understanding positive effects of PAs beyond biodiversity and forest conservation</w:t>
            </w:r>
          </w:p>
        </w:tc>
        <w:tc>
          <w:tcPr>
            <w:tcW w:w="1021" w:type="dxa"/>
          </w:tcPr>
          <w:p w14:paraId="5F081219" w14:textId="1F56A06C" w:rsidR="00874847" w:rsidRDefault="00874847" w:rsidP="00874847">
            <w:pPr>
              <w:spacing w:after="0" w:line="240" w:lineRule="auto"/>
              <w:rPr>
                <w:rFonts w:ascii="Century Gothic" w:hAnsi="Century Gothic" w:cs="Arial"/>
                <w:sz w:val="20"/>
                <w:szCs w:val="20"/>
              </w:rPr>
            </w:pPr>
            <w:r w:rsidRPr="00874847">
              <w:rPr>
                <w:rFonts w:ascii="Century Gothic" w:hAnsi="Century Gothic"/>
                <w:sz w:val="20"/>
                <w:szCs w:val="20"/>
              </w:rPr>
              <w:t>1</w:t>
            </w:r>
          </w:p>
        </w:tc>
      </w:tr>
      <w:tr w:rsidR="00874847" w14:paraId="5A252A62" w14:textId="23645A8A" w:rsidTr="00874847">
        <w:tc>
          <w:tcPr>
            <w:tcW w:w="2340" w:type="dxa"/>
          </w:tcPr>
          <w:p w14:paraId="031A21AA" w14:textId="5B762CEF" w:rsidR="00874847" w:rsidRPr="00293D32" w:rsidRDefault="003529F6" w:rsidP="00132FC0">
            <w:pPr>
              <w:spacing w:after="0" w:line="240" w:lineRule="auto"/>
              <w:rPr>
                <w:rFonts w:ascii="Century Gothic" w:hAnsi="Century Gothic" w:cs="Arial"/>
                <w:sz w:val="20"/>
                <w:szCs w:val="20"/>
              </w:rPr>
            </w:pPr>
            <w:r>
              <w:rPr>
                <w:rFonts w:ascii="Century Gothic" w:hAnsi="Century Gothic"/>
                <w:color w:val="000000"/>
                <w:sz w:val="20"/>
                <w:szCs w:val="20"/>
              </w:rPr>
              <w:t>Biomass estimate (change detection) m</w:t>
            </w:r>
            <w:r w:rsidR="00293D32" w:rsidRPr="00293D32">
              <w:rPr>
                <w:rFonts w:ascii="Century Gothic" w:hAnsi="Century Gothic"/>
                <w:color w:val="000000"/>
                <w:sz w:val="20"/>
                <w:szCs w:val="20"/>
              </w:rPr>
              <w:t>aps for 2000, 2011, and 2016</w:t>
            </w:r>
          </w:p>
        </w:tc>
        <w:tc>
          <w:tcPr>
            <w:tcW w:w="2340" w:type="dxa"/>
          </w:tcPr>
          <w:p w14:paraId="1C8A3B18" w14:textId="18247034" w:rsidR="00874847" w:rsidRDefault="006152F3" w:rsidP="00763CBB">
            <w:pPr>
              <w:spacing w:after="0" w:line="240" w:lineRule="auto"/>
              <w:rPr>
                <w:rFonts w:ascii="Century Gothic" w:hAnsi="Century Gothic" w:cs="Arial"/>
                <w:sz w:val="20"/>
                <w:szCs w:val="20"/>
              </w:rPr>
            </w:pPr>
            <w:r w:rsidRPr="006152F3">
              <w:rPr>
                <w:rFonts w:ascii="Century Gothic" w:eastAsia="Times New Roman" w:hAnsi="Century Gothic"/>
                <w:color w:val="000000"/>
                <w:sz w:val="20"/>
                <w:szCs w:val="20"/>
              </w:rPr>
              <w:t>Landsat 5 TM, Landsat 7 ETM+, Landsat 8 OLI,</w:t>
            </w:r>
            <w:r w:rsidR="00763CBB">
              <w:rPr>
                <w:rFonts w:ascii="Century Gothic" w:eastAsia="Times New Roman" w:hAnsi="Century Gothic"/>
                <w:color w:val="000000"/>
                <w:sz w:val="20"/>
                <w:szCs w:val="20"/>
              </w:rPr>
              <w:t xml:space="preserve"> </w:t>
            </w:r>
            <w:r w:rsidRPr="006152F3">
              <w:rPr>
                <w:rFonts w:ascii="Century Gothic" w:eastAsia="Times New Roman" w:hAnsi="Century Gothic"/>
                <w:color w:val="000000"/>
                <w:sz w:val="20"/>
                <w:szCs w:val="20"/>
              </w:rPr>
              <w:t>QuickBird-2, WorldView-2, GeoEye-01</w:t>
            </w:r>
          </w:p>
        </w:tc>
        <w:tc>
          <w:tcPr>
            <w:tcW w:w="2511" w:type="dxa"/>
          </w:tcPr>
          <w:p w14:paraId="7E09D45F" w14:textId="4EBFC7AC" w:rsidR="00874847" w:rsidRPr="00293D32" w:rsidRDefault="00293D32" w:rsidP="00293D32">
            <w:pPr>
              <w:spacing w:after="0" w:line="240" w:lineRule="auto"/>
              <w:rPr>
                <w:rFonts w:ascii="Century Gothic" w:hAnsi="Century Gothic" w:cs="Arial"/>
                <w:sz w:val="20"/>
                <w:szCs w:val="20"/>
              </w:rPr>
            </w:pPr>
            <w:r w:rsidRPr="00293D32">
              <w:rPr>
                <w:rFonts w:ascii="Century Gothic" w:hAnsi="Century Gothic"/>
                <w:color w:val="000000"/>
                <w:sz w:val="20"/>
                <w:szCs w:val="20"/>
              </w:rPr>
              <w:t>Highlights how biomass has changed within the PAs in order to have a baseline for f</w:t>
            </w:r>
            <w:r>
              <w:rPr>
                <w:rFonts w:ascii="Century Gothic" w:hAnsi="Century Gothic"/>
                <w:color w:val="000000"/>
                <w:sz w:val="20"/>
                <w:szCs w:val="20"/>
              </w:rPr>
              <w:t xml:space="preserve">orecasting and comparing above-ground carbon </w:t>
            </w:r>
            <w:r w:rsidRPr="00293D32">
              <w:rPr>
                <w:rFonts w:ascii="Century Gothic" w:hAnsi="Century Gothic"/>
                <w:color w:val="000000"/>
                <w:sz w:val="20"/>
                <w:szCs w:val="20"/>
              </w:rPr>
              <w:t>estimates</w:t>
            </w:r>
          </w:p>
        </w:tc>
        <w:tc>
          <w:tcPr>
            <w:tcW w:w="1021" w:type="dxa"/>
          </w:tcPr>
          <w:p w14:paraId="5BF21734" w14:textId="2E5BF058" w:rsidR="00874847" w:rsidRDefault="00293D32" w:rsidP="00132FC0">
            <w:pPr>
              <w:spacing w:after="0" w:line="240" w:lineRule="auto"/>
              <w:rPr>
                <w:rFonts w:ascii="Century Gothic" w:hAnsi="Century Gothic" w:cs="Arial"/>
                <w:sz w:val="20"/>
                <w:szCs w:val="20"/>
              </w:rPr>
            </w:pPr>
            <w:r>
              <w:rPr>
                <w:rFonts w:ascii="Century Gothic" w:hAnsi="Century Gothic" w:cs="Arial"/>
                <w:sz w:val="20"/>
                <w:szCs w:val="20"/>
              </w:rPr>
              <w:t>1</w:t>
            </w:r>
          </w:p>
        </w:tc>
      </w:tr>
      <w:tr w:rsidR="00293D32" w14:paraId="37B5CF6C" w14:textId="77777777" w:rsidTr="00874847">
        <w:tc>
          <w:tcPr>
            <w:tcW w:w="2340" w:type="dxa"/>
          </w:tcPr>
          <w:p w14:paraId="61CDD673" w14:textId="6A9F9098" w:rsidR="00293D32" w:rsidRPr="00293D32" w:rsidRDefault="003529F6" w:rsidP="00132FC0">
            <w:pPr>
              <w:spacing w:after="0" w:line="240" w:lineRule="auto"/>
              <w:rPr>
                <w:rFonts w:ascii="Century Gothic" w:hAnsi="Century Gothic" w:cs="Arial"/>
                <w:sz w:val="20"/>
                <w:szCs w:val="20"/>
              </w:rPr>
            </w:pPr>
            <w:r>
              <w:rPr>
                <w:rFonts w:ascii="Century Gothic" w:hAnsi="Century Gothic"/>
                <w:color w:val="000000"/>
                <w:sz w:val="20"/>
                <w:szCs w:val="20"/>
              </w:rPr>
              <w:t>Forecasted biomass estimate (change prediction) m</w:t>
            </w:r>
            <w:r w:rsidR="00293D32" w:rsidRPr="00293D32">
              <w:rPr>
                <w:rFonts w:ascii="Century Gothic" w:hAnsi="Century Gothic"/>
                <w:color w:val="000000"/>
                <w:sz w:val="20"/>
                <w:szCs w:val="20"/>
              </w:rPr>
              <w:t>aps for 2020 and 2030</w:t>
            </w:r>
          </w:p>
        </w:tc>
        <w:tc>
          <w:tcPr>
            <w:tcW w:w="2340" w:type="dxa"/>
          </w:tcPr>
          <w:p w14:paraId="30A8F7BC" w14:textId="6A3B9EE9" w:rsidR="00293D32" w:rsidRPr="006152F3" w:rsidRDefault="00293D32" w:rsidP="00763CBB">
            <w:pPr>
              <w:spacing w:after="0" w:line="240" w:lineRule="auto"/>
              <w:rPr>
                <w:rFonts w:ascii="Century Gothic" w:eastAsia="Times New Roman" w:hAnsi="Century Gothic"/>
                <w:color w:val="000000"/>
                <w:sz w:val="20"/>
                <w:szCs w:val="20"/>
              </w:rPr>
            </w:pPr>
            <w:r w:rsidRPr="006152F3">
              <w:rPr>
                <w:rFonts w:ascii="Century Gothic" w:eastAsia="Times New Roman" w:hAnsi="Century Gothic"/>
                <w:color w:val="000000"/>
                <w:sz w:val="20"/>
                <w:szCs w:val="20"/>
              </w:rPr>
              <w:t>Landsat 5 TM, Landsat 7 ETM+, Landsat 8 OLI,</w:t>
            </w:r>
            <w:r w:rsidR="00763CBB">
              <w:rPr>
                <w:rFonts w:ascii="Century Gothic" w:eastAsia="Times New Roman" w:hAnsi="Century Gothic"/>
                <w:color w:val="000000"/>
                <w:sz w:val="20"/>
                <w:szCs w:val="20"/>
              </w:rPr>
              <w:t xml:space="preserve"> </w:t>
            </w:r>
            <w:r w:rsidRPr="006152F3">
              <w:rPr>
                <w:rFonts w:ascii="Century Gothic" w:eastAsia="Times New Roman" w:hAnsi="Century Gothic"/>
                <w:color w:val="000000"/>
                <w:sz w:val="20"/>
                <w:szCs w:val="20"/>
              </w:rPr>
              <w:t>QuickBird-2, WorldView-2, GeoEye-01</w:t>
            </w:r>
          </w:p>
        </w:tc>
        <w:tc>
          <w:tcPr>
            <w:tcW w:w="2511" w:type="dxa"/>
          </w:tcPr>
          <w:p w14:paraId="5D34A7BC" w14:textId="3B7917E2" w:rsidR="00293D32" w:rsidRPr="00293D32" w:rsidRDefault="00293D32" w:rsidP="00132FC0">
            <w:pPr>
              <w:spacing w:after="0" w:line="240" w:lineRule="auto"/>
              <w:rPr>
                <w:rFonts w:ascii="Century Gothic" w:hAnsi="Century Gothic" w:cs="Arial"/>
                <w:sz w:val="20"/>
                <w:szCs w:val="20"/>
              </w:rPr>
            </w:pPr>
            <w:r w:rsidRPr="00293D32">
              <w:rPr>
                <w:rFonts w:ascii="Century Gothic" w:hAnsi="Century Gothic"/>
                <w:color w:val="000000"/>
                <w:sz w:val="20"/>
                <w:szCs w:val="20"/>
              </w:rPr>
              <w:t>Enhances GEF’s future decision making by forecasting PAs with high and low biomass</w:t>
            </w:r>
          </w:p>
        </w:tc>
        <w:tc>
          <w:tcPr>
            <w:tcW w:w="1021" w:type="dxa"/>
          </w:tcPr>
          <w:p w14:paraId="4813B93A" w14:textId="18203829" w:rsidR="00293D32" w:rsidRDefault="00293D32" w:rsidP="00132FC0">
            <w:pPr>
              <w:spacing w:after="0" w:line="240" w:lineRule="auto"/>
              <w:rPr>
                <w:rFonts w:ascii="Century Gothic" w:hAnsi="Century Gothic" w:cs="Arial"/>
                <w:sz w:val="20"/>
                <w:szCs w:val="20"/>
              </w:rPr>
            </w:pPr>
            <w:r>
              <w:rPr>
                <w:rFonts w:ascii="Century Gothic" w:hAnsi="Century Gothic" w:cs="Arial"/>
                <w:sz w:val="20"/>
                <w:szCs w:val="20"/>
              </w:rPr>
              <w:t>1</w:t>
            </w:r>
          </w:p>
        </w:tc>
      </w:tr>
    </w:tbl>
    <w:p w14:paraId="5339D11F" w14:textId="0C4C368D" w:rsidR="009457C9" w:rsidRDefault="009457C9">
      <w:pPr>
        <w:spacing w:after="0" w:line="240" w:lineRule="auto"/>
        <w:rPr>
          <w:rFonts w:ascii="Century Gothic" w:hAnsi="Century Gothic" w:cs="Arial"/>
          <w:b/>
          <w:sz w:val="20"/>
          <w:szCs w:val="20"/>
        </w:rPr>
      </w:pPr>
    </w:p>
    <w:p w14:paraId="11BDCD88" w14:textId="77777777" w:rsidR="00763CBB" w:rsidRDefault="00763CBB">
      <w:pPr>
        <w:spacing w:after="0" w:line="240" w:lineRule="auto"/>
        <w:rPr>
          <w:rFonts w:ascii="Century Gothic" w:hAnsi="Century Gothic" w:cs="Arial"/>
          <w:b/>
          <w:sz w:val="20"/>
          <w:szCs w:val="20"/>
        </w:rPr>
      </w:pPr>
    </w:p>
    <w:p w14:paraId="3982A51C" w14:textId="77777777" w:rsidR="00763CBB" w:rsidRDefault="00763CBB">
      <w:pPr>
        <w:spacing w:after="0" w:line="240" w:lineRule="auto"/>
        <w:rPr>
          <w:rFonts w:ascii="Century Gothic" w:hAnsi="Century Gothic" w:cs="Arial"/>
          <w:b/>
          <w:sz w:val="20"/>
          <w:szCs w:val="20"/>
        </w:rPr>
      </w:pPr>
    </w:p>
    <w:p w14:paraId="640500AE" w14:textId="77777777" w:rsidR="00763CBB" w:rsidRDefault="00763CBB">
      <w:pPr>
        <w:spacing w:after="0" w:line="240" w:lineRule="auto"/>
        <w:rPr>
          <w:rFonts w:ascii="Century Gothic" w:hAnsi="Century Gothic" w:cs="Arial"/>
          <w:b/>
          <w:sz w:val="20"/>
          <w:szCs w:val="20"/>
        </w:rPr>
      </w:pPr>
    </w:p>
    <w:p w14:paraId="2EF8076D" w14:textId="77777777" w:rsidR="00763CBB" w:rsidRDefault="00763CBB">
      <w:pPr>
        <w:spacing w:after="0" w:line="240" w:lineRule="auto"/>
        <w:rPr>
          <w:rFonts w:ascii="Century Gothic" w:hAnsi="Century Gothic" w:cs="Arial"/>
          <w:b/>
          <w:sz w:val="20"/>
          <w:szCs w:val="20"/>
        </w:rPr>
      </w:pPr>
    </w:p>
    <w:p w14:paraId="7C41AFDE" w14:textId="77777777" w:rsidR="00763CBB" w:rsidRDefault="00763CBB">
      <w:pPr>
        <w:spacing w:after="0" w:line="240" w:lineRule="auto"/>
        <w:rPr>
          <w:rFonts w:ascii="Century Gothic" w:hAnsi="Century Gothic" w:cs="Arial"/>
          <w:b/>
          <w:sz w:val="20"/>
          <w:szCs w:val="20"/>
        </w:rPr>
      </w:pPr>
    </w:p>
    <w:p w14:paraId="7F04DE97" w14:textId="77777777" w:rsidR="00763CBB" w:rsidRDefault="00763CBB">
      <w:pPr>
        <w:spacing w:after="0" w:line="240" w:lineRule="auto"/>
        <w:rPr>
          <w:rFonts w:ascii="Century Gothic" w:hAnsi="Century Gothic" w:cs="Arial"/>
          <w:b/>
          <w:sz w:val="20"/>
          <w:szCs w:val="20"/>
        </w:rPr>
      </w:pPr>
    </w:p>
    <w:p w14:paraId="78DC4C4D" w14:textId="77777777" w:rsidR="00763CBB" w:rsidRDefault="00763CBB">
      <w:pPr>
        <w:spacing w:after="0" w:line="240" w:lineRule="auto"/>
        <w:rPr>
          <w:rFonts w:ascii="Century Gothic" w:hAnsi="Century Gothic" w:cs="Arial"/>
          <w:b/>
          <w:sz w:val="20"/>
          <w:szCs w:val="20"/>
        </w:rPr>
      </w:pPr>
    </w:p>
    <w:p w14:paraId="36681325" w14:textId="77777777" w:rsidR="00763CBB" w:rsidRDefault="00763CBB">
      <w:pPr>
        <w:spacing w:after="0" w:line="240" w:lineRule="auto"/>
        <w:rPr>
          <w:rFonts w:ascii="Century Gothic" w:hAnsi="Century Gothic" w:cs="Arial"/>
          <w:b/>
          <w:sz w:val="20"/>
          <w:szCs w:val="20"/>
        </w:rPr>
      </w:pPr>
    </w:p>
    <w:p w14:paraId="51B33EF1" w14:textId="77777777" w:rsidR="00763CBB" w:rsidRDefault="00763CBB">
      <w:pPr>
        <w:spacing w:after="0" w:line="240" w:lineRule="auto"/>
        <w:rPr>
          <w:rFonts w:ascii="Century Gothic" w:hAnsi="Century Gothic" w:cs="Arial"/>
          <w:b/>
          <w:sz w:val="20"/>
          <w:szCs w:val="20"/>
        </w:rPr>
      </w:pPr>
    </w:p>
    <w:p w14:paraId="64828ED9" w14:textId="77777777" w:rsidR="00763CBB" w:rsidRDefault="00763CBB">
      <w:pPr>
        <w:spacing w:after="0" w:line="240" w:lineRule="auto"/>
        <w:rPr>
          <w:rFonts w:ascii="Century Gothic" w:hAnsi="Century Gothic" w:cs="Arial"/>
          <w:b/>
          <w:sz w:val="20"/>
          <w:szCs w:val="20"/>
        </w:rPr>
      </w:pPr>
    </w:p>
    <w:p w14:paraId="7FAEF8DD" w14:textId="77777777" w:rsidR="00763CBB" w:rsidRPr="00763CBB" w:rsidRDefault="00763CBB">
      <w:pPr>
        <w:spacing w:after="0" w:line="240" w:lineRule="auto"/>
        <w:rPr>
          <w:rFonts w:ascii="Century Gothic" w:hAnsi="Century Gothic" w:cs="Arial"/>
          <w:b/>
          <w:sz w:val="20"/>
          <w:szCs w:val="20"/>
        </w:rPr>
      </w:pPr>
    </w:p>
    <w:p w14:paraId="3B597629" w14:textId="3B5F5482"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5CEE0F56" w14:textId="77777777" w:rsidR="009457C9" w:rsidRDefault="009457C9" w:rsidP="000E7559">
      <w:pPr>
        <w:spacing w:after="0" w:line="240" w:lineRule="auto"/>
        <w:ind w:left="720" w:hanging="720"/>
        <w:rPr>
          <w:rFonts w:ascii="Century Gothic" w:hAnsi="Century Gothic" w:cs="Arial"/>
          <w:noProof/>
          <w:sz w:val="20"/>
          <w:szCs w:val="20"/>
        </w:rPr>
      </w:pPr>
    </w:p>
    <w:p w14:paraId="7097FB8E" w14:textId="74EAB0F4" w:rsidR="000E7559" w:rsidRDefault="009457C9"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6A937B25" wp14:editId="4D9DD774">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Fall_GSFC_KenyaEcoForecasting_VPSimag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62D573E5" w14:textId="77777777" w:rsidR="00763CBB" w:rsidRPr="00603BB8" w:rsidRDefault="00763CBB" w:rsidP="000E7559">
      <w:pPr>
        <w:spacing w:after="0" w:line="240" w:lineRule="auto"/>
        <w:ind w:left="720" w:hanging="720"/>
        <w:rPr>
          <w:rFonts w:ascii="Century Gothic" w:hAnsi="Century Gothic" w:cs="Arial"/>
          <w:sz w:val="20"/>
          <w:szCs w:val="20"/>
        </w:rPr>
      </w:pPr>
    </w:p>
    <w:p w14:paraId="119A6782" w14:textId="1CADA22B"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A2326C">
        <w:rPr>
          <w:rFonts w:ascii="Century Gothic" w:hAnsi="Century Gothic" w:cs="Arial"/>
          <w:sz w:val="20"/>
          <w:szCs w:val="20"/>
        </w:rPr>
        <w:t>Mount Kenya, a biodiverse landscape, represented in a composite of Landsat 8 Operational Land Imager multispectral bands that have been atmospherically corrected.</w:t>
      </w:r>
      <w:r w:rsidR="009457C9">
        <w:rPr>
          <w:rFonts w:ascii="Century Gothic" w:hAnsi="Century Gothic" w:cs="Arial"/>
          <w:sz w:val="20"/>
          <w:szCs w:val="20"/>
        </w:rPr>
        <w:t xml:space="preserve"> </w:t>
      </w:r>
      <w:r w:rsidR="00CC1EF4">
        <w:rPr>
          <w:rFonts w:ascii="Century Gothic" w:hAnsi="Century Gothic" w:cs="Arial"/>
          <w:sz w:val="20"/>
          <w:szCs w:val="20"/>
        </w:rPr>
        <w:t xml:space="preserve">Image Credit: </w:t>
      </w:r>
      <w:r w:rsidR="00BE3140" w:rsidRPr="00BE3140">
        <w:rPr>
          <w:rFonts w:ascii="Century Gothic" w:hAnsi="Century Gothic" w:cs="Arial"/>
          <w:sz w:val="20"/>
          <w:szCs w:val="20"/>
        </w:rPr>
        <w:t>Kenya Ecological Forecasting</w:t>
      </w:r>
      <w:r w:rsidR="00BE3140">
        <w:rPr>
          <w:rFonts w:ascii="Century Gothic" w:hAnsi="Century Gothic" w:cs="Arial"/>
          <w:sz w:val="20"/>
          <w:szCs w:val="20"/>
        </w:rPr>
        <w:t xml:space="preserve"> </w:t>
      </w:r>
      <w:r w:rsidR="00CC1EF4">
        <w:rPr>
          <w:rFonts w:ascii="Century Gothic" w:hAnsi="Century Gothic" w:cs="Arial"/>
          <w:sz w:val="20"/>
          <w:szCs w:val="20"/>
        </w:rPr>
        <w:t>Team.</w:t>
      </w:r>
    </w:p>
    <w:p w14:paraId="2B6DD0FE" w14:textId="3F7B48DC" w:rsidR="00D00A02" w:rsidRPr="0047457F" w:rsidRDefault="00603BB8" w:rsidP="00A2326C">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9457C9" w:rsidRPr="009457C9">
        <w:rPr>
          <w:rFonts w:ascii="Century Gothic" w:hAnsi="Century Gothic" w:cs="Arial"/>
          <w:sz w:val="20"/>
          <w:szCs w:val="20"/>
        </w:rPr>
        <w:t>2016Fall_GSFC_KenyaEcoForecasting_VPSimage</w:t>
      </w:r>
      <w:r w:rsidRPr="00603BB8">
        <w:rPr>
          <w:rFonts w:ascii="Century Gothic" w:hAnsi="Century Gothic" w:cs="Arial"/>
          <w:sz w:val="20"/>
          <w:szCs w:val="20"/>
        </w:rPr>
        <w:t>.</w:t>
      </w:r>
      <w:r w:rsidR="009457C9">
        <w:rPr>
          <w:rFonts w:ascii="Century Gothic" w:hAnsi="Century Gothic" w:cs="Arial"/>
          <w:sz w:val="20"/>
          <w:szCs w:val="20"/>
        </w:rPr>
        <w:t>jp</w:t>
      </w:r>
      <w:r w:rsidR="00A2326C">
        <w:rPr>
          <w:rFonts w:ascii="Century Gothic" w:hAnsi="Century Gothic" w:cs="Arial"/>
          <w:sz w:val="20"/>
          <w:szCs w:val="20"/>
        </w:rPr>
        <w:t>g</w:t>
      </w:r>
      <w:bookmarkStart w:id="0" w:name="_GoBack"/>
      <w:bookmarkEnd w:id="0"/>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075F1" w14:textId="77777777" w:rsidR="00CB5F2C" w:rsidRDefault="00CB5F2C" w:rsidP="00816220">
      <w:pPr>
        <w:spacing w:after="0" w:line="240" w:lineRule="auto"/>
      </w:pPr>
      <w:r>
        <w:separator/>
      </w:r>
    </w:p>
  </w:endnote>
  <w:endnote w:type="continuationSeparator" w:id="0">
    <w:p w14:paraId="74E84B27" w14:textId="77777777" w:rsidR="00CB5F2C" w:rsidRDefault="00CB5F2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C465B" w14:textId="77777777" w:rsidR="00CB5F2C" w:rsidRDefault="00CB5F2C" w:rsidP="00816220">
      <w:pPr>
        <w:spacing w:after="0" w:line="240" w:lineRule="auto"/>
      </w:pPr>
      <w:r>
        <w:separator/>
      </w:r>
    </w:p>
  </w:footnote>
  <w:footnote w:type="continuationSeparator" w:id="0">
    <w:p w14:paraId="7F0DE8C4" w14:textId="77777777" w:rsidR="00CB5F2C" w:rsidRDefault="00CB5F2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C26A2"/>
    <w:multiLevelType w:val="multilevel"/>
    <w:tmpl w:val="8384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97A98"/>
    <w:multiLevelType w:val="multilevel"/>
    <w:tmpl w:val="B62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F9E1B25"/>
    <w:multiLevelType w:val="multilevel"/>
    <w:tmpl w:val="179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C58AF"/>
    <w:multiLevelType w:val="multilevel"/>
    <w:tmpl w:val="1AEC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
  </w:num>
  <w:num w:numId="4">
    <w:abstractNumId w:val="15"/>
  </w:num>
  <w:num w:numId="5">
    <w:abstractNumId w:val="6"/>
  </w:num>
  <w:num w:numId="6">
    <w:abstractNumId w:val="3"/>
  </w:num>
  <w:num w:numId="7">
    <w:abstractNumId w:val="0"/>
  </w:num>
  <w:num w:numId="8">
    <w:abstractNumId w:val="5"/>
  </w:num>
  <w:num w:numId="9">
    <w:abstractNumId w:val="8"/>
  </w:num>
  <w:num w:numId="10">
    <w:abstractNumId w:val="14"/>
  </w:num>
  <w:num w:numId="11">
    <w:abstractNumId w:val="13"/>
  </w:num>
  <w:num w:numId="12">
    <w:abstractNumId w:val="10"/>
  </w:num>
  <w:num w:numId="13">
    <w:abstractNumId w:val="9"/>
  </w:num>
  <w:num w:numId="14">
    <w:abstractNumId w:val="16"/>
  </w:num>
  <w:num w:numId="15">
    <w:abstractNumId w:val="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36CF"/>
    <w:rsid w:val="000276B3"/>
    <w:rsid w:val="00037ED9"/>
    <w:rsid w:val="000679A3"/>
    <w:rsid w:val="00071662"/>
    <w:rsid w:val="000737A8"/>
    <w:rsid w:val="000A7821"/>
    <w:rsid w:val="000C0E41"/>
    <w:rsid w:val="000D1653"/>
    <w:rsid w:val="000E33DD"/>
    <w:rsid w:val="000E6C80"/>
    <w:rsid w:val="000E7559"/>
    <w:rsid w:val="00112740"/>
    <w:rsid w:val="00131B08"/>
    <w:rsid w:val="0017249F"/>
    <w:rsid w:val="001726C7"/>
    <w:rsid w:val="001C030D"/>
    <w:rsid w:val="001C0A6B"/>
    <w:rsid w:val="001E4936"/>
    <w:rsid w:val="00200201"/>
    <w:rsid w:val="00243CAE"/>
    <w:rsid w:val="002469C9"/>
    <w:rsid w:val="002516A3"/>
    <w:rsid w:val="0027752D"/>
    <w:rsid w:val="0028618E"/>
    <w:rsid w:val="00293D32"/>
    <w:rsid w:val="002A6AE4"/>
    <w:rsid w:val="002D0C33"/>
    <w:rsid w:val="002D2EE4"/>
    <w:rsid w:val="002E4378"/>
    <w:rsid w:val="003053B0"/>
    <w:rsid w:val="00313897"/>
    <w:rsid w:val="00335362"/>
    <w:rsid w:val="0034120B"/>
    <w:rsid w:val="003529F6"/>
    <w:rsid w:val="003545A4"/>
    <w:rsid w:val="00367E8C"/>
    <w:rsid w:val="0037622F"/>
    <w:rsid w:val="003A4CA5"/>
    <w:rsid w:val="003A7792"/>
    <w:rsid w:val="003B2A86"/>
    <w:rsid w:val="003C47DD"/>
    <w:rsid w:val="003F2639"/>
    <w:rsid w:val="003F68F5"/>
    <w:rsid w:val="00402FAF"/>
    <w:rsid w:val="00403097"/>
    <w:rsid w:val="00420300"/>
    <w:rsid w:val="0042763C"/>
    <w:rsid w:val="00434799"/>
    <w:rsid w:val="004357F4"/>
    <w:rsid w:val="0045085C"/>
    <w:rsid w:val="00452BB0"/>
    <w:rsid w:val="00454EA3"/>
    <w:rsid w:val="00470436"/>
    <w:rsid w:val="004739C7"/>
    <w:rsid w:val="0047457F"/>
    <w:rsid w:val="00486C4B"/>
    <w:rsid w:val="00494141"/>
    <w:rsid w:val="004B4C28"/>
    <w:rsid w:val="004D0B5D"/>
    <w:rsid w:val="00501143"/>
    <w:rsid w:val="00513F4C"/>
    <w:rsid w:val="00520FF6"/>
    <w:rsid w:val="005326E7"/>
    <w:rsid w:val="005858DE"/>
    <w:rsid w:val="00592371"/>
    <w:rsid w:val="005B31C6"/>
    <w:rsid w:val="00603BB8"/>
    <w:rsid w:val="006130EE"/>
    <w:rsid w:val="006152F3"/>
    <w:rsid w:val="00617F6B"/>
    <w:rsid w:val="00637325"/>
    <w:rsid w:val="006506D1"/>
    <w:rsid w:val="006558A7"/>
    <w:rsid w:val="0066463C"/>
    <w:rsid w:val="00664D87"/>
    <w:rsid w:val="00665765"/>
    <w:rsid w:val="00677CB8"/>
    <w:rsid w:val="006868AF"/>
    <w:rsid w:val="006923D3"/>
    <w:rsid w:val="006A6894"/>
    <w:rsid w:val="006E1982"/>
    <w:rsid w:val="006E37A2"/>
    <w:rsid w:val="006F18ED"/>
    <w:rsid w:val="00707C56"/>
    <w:rsid w:val="00720DF2"/>
    <w:rsid w:val="007338D2"/>
    <w:rsid w:val="007512A3"/>
    <w:rsid w:val="0075569C"/>
    <w:rsid w:val="00755F8C"/>
    <w:rsid w:val="00763CBB"/>
    <w:rsid w:val="00770D88"/>
    <w:rsid w:val="00776186"/>
    <w:rsid w:val="007E48F8"/>
    <w:rsid w:val="007E4F6F"/>
    <w:rsid w:val="007F04BC"/>
    <w:rsid w:val="00816220"/>
    <w:rsid w:val="00827FFB"/>
    <w:rsid w:val="00860A65"/>
    <w:rsid w:val="0086775F"/>
    <w:rsid w:val="00870E0A"/>
    <w:rsid w:val="008746A4"/>
    <w:rsid w:val="00874847"/>
    <w:rsid w:val="00880C26"/>
    <w:rsid w:val="008A4AFD"/>
    <w:rsid w:val="008A7C4D"/>
    <w:rsid w:val="008B166F"/>
    <w:rsid w:val="008D1475"/>
    <w:rsid w:val="00902BE7"/>
    <w:rsid w:val="00920DF6"/>
    <w:rsid w:val="0093138E"/>
    <w:rsid w:val="009366D7"/>
    <w:rsid w:val="009457C9"/>
    <w:rsid w:val="00947CA7"/>
    <w:rsid w:val="00953246"/>
    <w:rsid w:val="009548B1"/>
    <w:rsid w:val="0097582D"/>
    <w:rsid w:val="009A326F"/>
    <w:rsid w:val="009E7D75"/>
    <w:rsid w:val="00A02DB4"/>
    <w:rsid w:val="00A174D1"/>
    <w:rsid w:val="00A22A42"/>
    <w:rsid w:val="00A2326C"/>
    <w:rsid w:val="00A37BBD"/>
    <w:rsid w:val="00A40133"/>
    <w:rsid w:val="00A60645"/>
    <w:rsid w:val="00AB1221"/>
    <w:rsid w:val="00AC0354"/>
    <w:rsid w:val="00AC5084"/>
    <w:rsid w:val="00AD6679"/>
    <w:rsid w:val="00AF6A15"/>
    <w:rsid w:val="00B04370"/>
    <w:rsid w:val="00B04BDE"/>
    <w:rsid w:val="00B069EE"/>
    <w:rsid w:val="00B23EAA"/>
    <w:rsid w:val="00B46F89"/>
    <w:rsid w:val="00B50367"/>
    <w:rsid w:val="00B82BB6"/>
    <w:rsid w:val="00BA5773"/>
    <w:rsid w:val="00BA65D6"/>
    <w:rsid w:val="00BB5F98"/>
    <w:rsid w:val="00BC3BA9"/>
    <w:rsid w:val="00BC6B3C"/>
    <w:rsid w:val="00BE3140"/>
    <w:rsid w:val="00C1027B"/>
    <w:rsid w:val="00C10321"/>
    <w:rsid w:val="00C11447"/>
    <w:rsid w:val="00C370C2"/>
    <w:rsid w:val="00C607D5"/>
    <w:rsid w:val="00C61FC0"/>
    <w:rsid w:val="00C627B1"/>
    <w:rsid w:val="00C807CE"/>
    <w:rsid w:val="00C82473"/>
    <w:rsid w:val="00C85766"/>
    <w:rsid w:val="00CA4C99"/>
    <w:rsid w:val="00CB5F2C"/>
    <w:rsid w:val="00CC1EF4"/>
    <w:rsid w:val="00CC559E"/>
    <w:rsid w:val="00CC6870"/>
    <w:rsid w:val="00D00A02"/>
    <w:rsid w:val="00D26E3B"/>
    <w:rsid w:val="00D339EB"/>
    <w:rsid w:val="00D51876"/>
    <w:rsid w:val="00D579FC"/>
    <w:rsid w:val="00D6147F"/>
    <w:rsid w:val="00D61A37"/>
    <w:rsid w:val="00D6254A"/>
    <w:rsid w:val="00D9027A"/>
    <w:rsid w:val="00DC4DBF"/>
    <w:rsid w:val="00DC796D"/>
    <w:rsid w:val="00DF236F"/>
    <w:rsid w:val="00E157E8"/>
    <w:rsid w:val="00E25967"/>
    <w:rsid w:val="00E35269"/>
    <w:rsid w:val="00E40D18"/>
    <w:rsid w:val="00E4268E"/>
    <w:rsid w:val="00E507D0"/>
    <w:rsid w:val="00E545D4"/>
    <w:rsid w:val="00E57C0A"/>
    <w:rsid w:val="00E800CD"/>
    <w:rsid w:val="00E80174"/>
    <w:rsid w:val="00E86CE8"/>
    <w:rsid w:val="00E96262"/>
    <w:rsid w:val="00E96701"/>
    <w:rsid w:val="00EB54F0"/>
    <w:rsid w:val="00EB7CF9"/>
    <w:rsid w:val="00ED4DA0"/>
    <w:rsid w:val="00F13449"/>
    <w:rsid w:val="00F1798C"/>
    <w:rsid w:val="00F251DB"/>
    <w:rsid w:val="00F261BD"/>
    <w:rsid w:val="00F36A8C"/>
    <w:rsid w:val="00F53A38"/>
    <w:rsid w:val="00F6325C"/>
    <w:rsid w:val="00F76AD7"/>
    <w:rsid w:val="00F82819"/>
    <w:rsid w:val="00F83291"/>
    <w:rsid w:val="00F924DE"/>
    <w:rsid w:val="00FB2A76"/>
    <w:rsid w:val="00FC6BE3"/>
    <w:rsid w:val="00FE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0013580-77DC-4373-AB09-E0808E56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C8576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6608">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18717509">
      <w:bodyDiv w:val="1"/>
      <w:marLeft w:val="0"/>
      <w:marRight w:val="0"/>
      <w:marTop w:val="0"/>
      <w:marBottom w:val="0"/>
      <w:divBdr>
        <w:top w:val="none" w:sz="0" w:space="0" w:color="auto"/>
        <w:left w:val="none" w:sz="0" w:space="0" w:color="auto"/>
        <w:bottom w:val="none" w:sz="0" w:space="0" w:color="auto"/>
        <w:right w:val="none" w:sz="0" w:space="0" w:color="auto"/>
      </w:divBdr>
    </w:div>
    <w:div w:id="482745496">
      <w:bodyDiv w:val="1"/>
      <w:marLeft w:val="0"/>
      <w:marRight w:val="0"/>
      <w:marTop w:val="0"/>
      <w:marBottom w:val="0"/>
      <w:divBdr>
        <w:top w:val="none" w:sz="0" w:space="0" w:color="auto"/>
        <w:left w:val="none" w:sz="0" w:space="0" w:color="auto"/>
        <w:bottom w:val="none" w:sz="0" w:space="0" w:color="auto"/>
        <w:right w:val="none" w:sz="0" w:space="0" w:color="auto"/>
      </w:divBdr>
    </w:div>
    <w:div w:id="659231806">
      <w:bodyDiv w:val="1"/>
      <w:marLeft w:val="0"/>
      <w:marRight w:val="0"/>
      <w:marTop w:val="0"/>
      <w:marBottom w:val="0"/>
      <w:divBdr>
        <w:top w:val="none" w:sz="0" w:space="0" w:color="auto"/>
        <w:left w:val="none" w:sz="0" w:space="0" w:color="auto"/>
        <w:bottom w:val="none" w:sz="0" w:space="0" w:color="auto"/>
        <w:right w:val="none" w:sz="0" w:space="0" w:color="auto"/>
      </w:divBdr>
    </w:div>
    <w:div w:id="906115728">
      <w:bodyDiv w:val="1"/>
      <w:marLeft w:val="0"/>
      <w:marRight w:val="0"/>
      <w:marTop w:val="0"/>
      <w:marBottom w:val="0"/>
      <w:divBdr>
        <w:top w:val="none" w:sz="0" w:space="0" w:color="auto"/>
        <w:left w:val="none" w:sz="0" w:space="0" w:color="auto"/>
        <w:bottom w:val="none" w:sz="0" w:space="0" w:color="auto"/>
        <w:right w:val="none" w:sz="0" w:space="0" w:color="auto"/>
      </w:divBdr>
    </w:div>
    <w:div w:id="1349874069">
      <w:bodyDiv w:val="1"/>
      <w:marLeft w:val="0"/>
      <w:marRight w:val="0"/>
      <w:marTop w:val="0"/>
      <w:marBottom w:val="0"/>
      <w:divBdr>
        <w:top w:val="none" w:sz="0" w:space="0" w:color="auto"/>
        <w:left w:val="none" w:sz="0" w:space="0" w:color="auto"/>
        <w:bottom w:val="none" w:sz="0" w:space="0" w:color="auto"/>
        <w:right w:val="none" w:sz="0" w:space="0" w:color="auto"/>
      </w:divBdr>
    </w:div>
    <w:div w:id="1652059992">
      <w:bodyDiv w:val="1"/>
      <w:marLeft w:val="0"/>
      <w:marRight w:val="0"/>
      <w:marTop w:val="0"/>
      <w:marBottom w:val="0"/>
      <w:divBdr>
        <w:top w:val="none" w:sz="0" w:space="0" w:color="auto"/>
        <w:left w:val="none" w:sz="0" w:space="0" w:color="auto"/>
        <w:bottom w:val="none" w:sz="0" w:space="0" w:color="auto"/>
        <w:right w:val="none" w:sz="0" w:space="0" w:color="auto"/>
      </w:divBdr>
    </w:div>
    <w:div w:id="186635866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2</cp:revision>
  <dcterms:created xsi:type="dcterms:W3CDTF">2016-11-08T21:09:00Z</dcterms:created>
  <dcterms:modified xsi:type="dcterms:W3CDTF">2016-11-08T21:09:00Z</dcterms:modified>
</cp:coreProperties>
</file>